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2F" w:rsidRPr="00170507" w:rsidRDefault="00B000AC" w:rsidP="00151C0C">
      <w:pPr>
        <w:pStyle w:val="Aaoeeu"/>
        <w:widowControl/>
        <w:ind w:left="1440"/>
        <w:rPr>
          <w:i/>
          <w:lang w:val="it-IT"/>
        </w:rPr>
      </w:pPr>
      <w:r w:rsidRPr="008046DF">
        <w:rPr>
          <w:noProof/>
          <w:lang w:val="it-IT" w:eastAsia="it-IT"/>
        </w:rPr>
        <w:drawing>
          <wp:anchor distT="0" distB="0" distL="114300" distR="114300" simplePos="0" relativeHeight="251672576" behindDoc="0" locked="0" layoutInCell="1" allowOverlap="1" wp14:anchorId="13D1B92A" wp14:editId="6FB93AED">
            <wp:simplePos x="0" y="0"/>
            <wp:positionH relativeFrom="column">
              <wp:posOffset>2005965</wp:posOffset>
            </wp:positionH>
            <wp:positionV relativeFrom="paragraph">
              <wp:posOffset>22225</wp:posOffset>
            </wp:positionV>
            <wp:extent cx="904875" cy="1209675"/>
            <wp:effectExtent l="19050" t="0" r="9525" b="0"/>
            <wp:wrapSquare wrapText="bothSides"/>
            <wp:docPr id="4" name="Immagine 2" descr="C:\Documents and Settings\standard\Documenti\IMMAGINI\Immagini\foto gruppo endoscopia\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tandard\Documenti\IMMAGINI\Immagini\foto gruppo endoscopia\foto-1.JPG"/>
                    <pic:cNvPicPr>
                      <a:picLocks noChangeAspect="1" noChangeArrowheads="1"/>
                    </pic:cNvPicPr>
                  </pic:nvPicPr>
                  <pic:blipFill>
                    <a:blip r:embed="rId7" cstate="print"/>
                    <a:srcRect/>
                    <a:stretch>
                      <a:fillRect/>
                    </a:stretch>
                  </pic:blipFill>
                  <pic:spPr bwMode="auto">
                    <a:xfrm>
                      <a:off x="0" y="0"/>
                      <a:ext cx="904875" cy="1209675"/>
                    </a:xfrm>
                    <a:prstGeom prst="rect">
                      <a:avLst/>
                    </a:prstGeom>
                    <a:noFill/>
                    <a:ln w="9525">
                      <a:noFill/>
                      <a:miter lim="800000"/>
                      <a:headEnd/>
                      <a:tailEnd/>
                    </a:ln>
                  </pic:spPr>
                </pic:pic>
              </a:graphicData>
            </a:graphic>
          </wp:anchor>
        </w:drawing>
      </w:r>
      <w:r w:rsidR="00AF6BE0">
        <w:rPr>
          <w:lang w:val="it-IT"/>
        </w:rPr>
        <w:t xml:space="preserve">  </w:t>
      </w:r>
      <w:r w:rsidR="00AF6BE0" w:rsidRPr="00AF6BE0">
        <w:rPr>
          <w:i/>
          <w:lang w:val="it-IT"/>
        </w:rPr>
        <w:t xml:space="preserve">Febbraio </w:t>
      </w:r>
      <w:r w:rsidR="00151C0C" w:rsidRPr="00AF6BE0">
        <w:rPr>
          <w:i/>
          <w:lang w:val="it-IT"/>
        </w:rPr>
        <w:t>2</w:t>
      </w:r>
      <w:r w:rsidR="00151C0C" w:rsidRPr="00170507">
        <w:rPr>
          <w:i/>
          <w:lang w:val="it-IT"/>
        </w:rPr>
        <w:t>01</w:t>
      </w:r>
      <w:r w:rsidR="00AF6BE0">
        <w:rPr>
          <w:i/>
          <w:lang w:val="it-IT"/>
        </w:rPr>
        <w:t>6</w:t>
      </w: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RPr="008046DF" w:rsidTr="000E35A2">
        <w:tc>
          <w:tcPr>
            <w:tcW w:w="2943" w:type="dxa"/>
            <w:tcBorders>
              <w:top w:val="nil"/>
              <w:left w:val="nil"/>
              <w:bottom w:val="nil"/>
              <w:right w:val="nil"/>
            </w:tcBorders>
          </w:tcPr>
          <w:p w:rsidR="006C6E2F" w:rsidRPr="008046DF" w:rsidRDefault="006C6E2F" w:rsidP="000E35A2">
            <w:pPr>
              <w:pStyle w:val="Aeeaoaeaa1"/>
              <w:widowControl/>
              <w:rPr>
                <w:smallCaps/>
                <w:spacing w:val="40"/>
                <w:lang w:val="it-IT"/>
              </w:rPr>
            </w:pPr>
            <w:r w:rsidRPr="008046DF">
              <w:rPr>
                <w:smallCaps/>
                <w:spacing w:val="40"/>
                <w:sz w:val="26"/>
                <w:lang w:val="it-IT"/>
              </w:rPr>
              <w:t>curriculum vitae</w:t>
            </w:r>
          </w:p>
          <w:p w:rsidR="006C6E2F" w:rsidRPr="008046DF" w:rsidRDefault="006C6E2F" w:rsidP="000E35A2">
            <w:pPr>
              <w:pStyle w:val="Aaoeeu"/>
              <w:rPr>
                <w:lang w:val="it-IT"/>
              </w:rPr>
            </w:pPr>
          </w:p>
          <w:p w:rsidR="006C6E2F" w:rsidRPr="008046DF" w:rsidRDefault="008D408E" w:rsidP="000E35A2">
            <w:pPr>
              <w:pStyle w:val="Aaoeeu"/>
              <w:jc w:val="right"/>
              <w:rPr>
                <w:sz w:val="16"/>
                <w:lang w:val="it-IT"/>
              </w:rPr>
            </w:pPr>
            <w:r w:rsidRPr="00AF6BE0">
              <w:rPr>
                <w:noProof/>
                <w:color w:val="0070C0"/>
                <w:sz w:val="16"/>
                <w:lang w:val="it-IT" w:eastAsia="it-IT"/>
              </w:rPr>
              <w:drawing>
                <wp:inline distT="0" distB="0" distL="0" distR="0" wp14:anchorId="154F9932" wp14:editId="29B4CCC9">
                  <wp:extent cx="361950" cy="247650"/>
                  <wp:effectExtent l="19050" t="0" r="0" b="0"/>
                  <wp:docPr id="1" name="Imagen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1"/>
                          <pic:cNvPicPr>
                            <a:picLocks noChangeAspect="1" noChangeArrowheads="1"/>
                          </pic:cNvPicPr>
                        </pic:nvPicPr>
                        <pic:blipFill>
                          <a:blip r:embed="rId8"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p>
        </w:tc>
      </w:tr>
    </w:tbl>
    <w:p w:rsidR="006C6E2F" w:rsidRPr="008046DF" w:rsidRDefault="00DF2828" w:rsidP="006C6E2F">
      <w:pPr>
        <w:pStyle w:val="Aaoeeu"/>
        <w:widowControl/>
        <w:rPr>
          <w:lang w:val="it-IT"/>
        </w:rPr>
      </w:pPr>
      <w:r>
        <w:rPr>
          <w:lang w:val="it-IT"/>
        </w:rPr>
        <w:tab/>
      </w:r>
      <w:r>
        <w:rPr>
          <w:lang w:val="it-IT"/>
        </w:rPr>
        <w:tab/>
      </w:r>
      <w:r>
        <w:rPr>
          <w:lang w:val="it-IT"/>
        </w:rPr>
        <w:tab/>
      </w:r>
      <w:r>
        <w:rPr>
          <w:lang w:val="it-IT"/>
        </w:rPr>
        <w:tab/>
      </w:r>
      <w:r w:rsidR="003D006A">
        <w:rPr>
          <w:lang w:val="it-IT"/>
        </w:rPr>
        <w:tab/>
      </w:r>
      <w:r>
        <w:rPr>
          <w:lang w:val="it-IT"/>
        </w:rPr>
        <w:br w:type="textWrapping" w:clear="all"/>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RPr="008046DF" w:rsidTr="006C6E2F">
        <w:tc>
          <w:tcPr>
            <w:tcW w:w="2943" w:type="dxa"/>
            <w:tcBorders>
              <w:top w:val="nil"/>
              <w:left w:val="nil"/>
              <w:bottom w:val="nil"/>
              <w:right w:val="nil"/>
            </w:tcBorders>
          </w:tcPr>
          <w:p w:rsidR="006C6E2F" w:rsidRPr="008046DF" w:rsidRDefault="006C6E2F" w:rsidP="006C6E2F">
            <w:pPr>
              <w:pStyle w:val="Aeeaoaeaa1"/>
              <w:widowControl/>
              <w:rPr>
                <w:smallCaps/>
                <w:sz w:val="24"/>
                <w:lang w:val="it-IT"/>
              </w:rPr>
            </w:pPr>
            <w:r w:rsidRPr="008046DF">
              <w:rPr>
                <w:smallCaps/>
                <w:sz w:val="24"/>
                <w:lang w:val="it-IT"/>
              </w:rPr>
              <w:t>Informazioni personali</w:t>
            </w:r>
            <w:r w:rsidR="00DF2828">
              <w:rPr>
                <w:smallCaps/>
                <w:sz w:val="24"/>
                <w:lang w:val="it-IT"/>
              </w:rPr>
              <w:t xml:space="preserve">            </w:t>
            </w:r>
          </w:p>
        </w:tc>
      </w:tr>
    </w:tbl>
    <w:p w:rsidR="006C6E2F" w:rsidRPr="008046DF" w:rsidRDefault="006C6E2F" w:rsidP="006C6E2F">
      <w:pPr>
        <w:pStyle w:val="Aaoeeu"/>
        <w:widowControl/>
        <w:rPr>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RPr="008046DF" w:rsidTr="007C437C">
        <w:tc>
          <w:tcPr>
            <w:tcW w:w="2943" w:type="dxa"/>
            <w:tcBorders>
              <w:top w:val="nil"/>
              <w:left w:val="nil"/>
              <w:bottom w:val="nil"/>
              <w:right w:val="nil"/>
            </w:tcBorders>
          </w:tcPr>
          <w:p w:rsidR="006C6E2F" w:rsidRPr="008046DF" w:rsidRDefault="006C6E2F" w:rsidP="006C6E2F">
            <w:pPr>
              <w:pStyle w:val="Aeeaoaeaa1"/>
              <w:widowControl/>
              <w:spacing w:before="40" w:after="40"/>
              <w:rPr>
                <w:b w:val="0"/>
                <w:sz w:val="22"/>
                <w:lang w:val="it-IT"/>
              </w:rPr>
            </w:pPr>
            <w:r w:rsidRPr="008046DF">
              <w:rPr>
                <w:b w:val="0"/>
                <w:lang w:val="it-IT"/>
              </w:rPr>
              <w:t>Nome</w:t>
            </w:r>
          </w:p>
        </w:tc>
        <w:tc>
          <w:tcPr>
            <w:tcW w:w="284" w:type="dxa"/>
            <w:tcBorders>
              <w:top w:val="nil"/>
              <w:left w:val="nil"/>
              <w:bottom w:val="nil"/>
              <w:right w:val="nil"/>
            </w:tcBorders>
          </w:tcPr>
          <w:p w:rsidR="006C6E2F" w:rsidRPr="008046DF" w:rsidRDefault="006C6E2F" w:rsidP="006C6E2F">
            <w:pPr>
              <w:pStyle w:val="Aaoeeu"/>
              <w:widowControl/>
              <w:spacing w:before="40" w:after="40"/>
              <w:rPr>
                <w:lang w:val="it-IT"/>
              </w:rPr>
            </w:pPr>
          </w:p>
        </w:tc>
        <w:tc>
          <w:tcPr>
            <w:tcW w:w="7229" w:type="dxa"/>
            <w:tcBorders>
              <w:top w:val="nil"/>
              <w:left w:val="nil"/>
              <w:bottom w:val="nil"/>
              <w:right w:val="nil"/>
            </w:tcBorders>
          </w:tcPr>
          <w:p w:rsidR="006C6E2F" w:rsidRPr="008046DF" w:rsidRDefault="002E6E2B" w:rsidP="006C6E2F">
            <w:pPr>
              <w:pStyle w:val="Eaoaeaa"/>
              <w:widowControl/>
              <w:tabs>
                <w:tab w:val="clear" w:pos="4153"/>
                <w:tab w:val="clear" w:pos="8306"/>
              </w:tabs>
              <w:spacing w:before="40" w:after="40"/>
              <w:rPr>
                <w:sz w:val="32"/>
                <w:szCs w:val="32"/>
                <w:lang w:val="it-IT"/>
              </w:rPr>
            </w:pPr>
            <w:r w:rsidRPr="008046DF">
              <w:rPr>
                <w:b/>
                <w:smallCaps/>
                <w:sz w:val="32"/>
                <w:szCs w:val="32"/>
                <w:lang w:val="it-IT"/>
              </w:rPr>
              <w:t>Giovanni cammarota</w:t>
            </w:r>
          </w:p>
        </w:tc>
      </w:tr>
      <w:tr w:rsidR="006C6E2F" w:rsidRPr="008046DF" w:rsidTr="007C437C">
        <w:tc>
          <w:tcPr>
            <w:tcW w:w="2943" w:type="dxa"/>
            <w:tcBorders>
              <w:top w:val="nil"/>
              <w:left w:val="nil"/>
              <w:bottom w:val="nil"/>
              <w:right w:val="nil"/>
            </w:tcBorders>
          </w:tcPr>
          <w:p w:rsidR="006C6E2F" w:rsidRPr="008046DF" w:rsidRDefault="006C6E2F" w:rsidP="006C6E2F">
            <w:pPr>
              <w:pStyle w:val="Aeeaoaeaa1"/>
              <w:widowControl/>
              <w:spacing w:before="40" w:after="40"/>
              <w:rPr>
                <w:b w:val="0"/>
                <w:sz w:val="22"/>
                <w:lang w:val="it-IT"/>
              </w:rPr>
            </w:pPr>
          </w:p>
        </w:tc>
        <w:tc>
          <w:tcPr>
            <w:tcW w:w="284" w:type="dxa"/>
            <w:tcBorders>
              <w:top w:val="nil"/>
              <w:left w:val="nil"/>
              <w:bottom w:val="nil"/>
              <w:right w:val="nil"/>
            </w:tcBorders>
          </w:tcPr>
          <w:p w:rsidR="006C6E2F" w:rsidRPr="008046DF" w:rsidRDefault="006C6E2F" w:rsidP="006C6E2F">
            <w:pPr>
              <w:pStyle w:val="Aaoeeu"/>
              <w:widowControl/>
              <w:spacing w:before="40" w:after="40"/>
              <w:rPr>
                <w:lang w:val="it-IT"/>
              </w:rPr>
            </w:pPr>
          </w:p>
        </w:tc>
        <w:tc>
          <w:tcPr>
            <w:tcW w:w="7229" w:type="dxa"/>
            <w:tcBorders>
              <w:top w:val="nil"/>
              <w:left w:val="nil"/>
              <w:bottom w:val="nil"/>
              <w:right w:val="nil"/>
            </w:tcBorders>
          </w:tcPr>
          <w:p w:rsidR="006C6E2F" w:rsidRPr="00DA381B" w:rsidRDefault="006C6E2F" w:rsidP="000A6C7B">
            <w:pPr>
              <w:pStyle w:val="Eaoaeaa"/>
              <w:widowControl/>
              <w:tabs>
                <w:tab w:val="clear" w:pos="4153"/>
                <w:tab w:val="clear" w:pos="8306"/>
              </w:tabs>
              <w:spacing w:before="40" w:after="40"/>
              <w:rPr>
                <w:lang w:val="it-IT"/>
              </w:rPr>
            </w:pPr>
          </w:p>
        </w:tc>
      </w:tr>
      <w:tr w:rsidR="006C6E2F" w:rsidRPr="008046DF" w:rsidTr="007C437C">
        <w:tc>
          <w:tcPr>
            <w:tcW w:w="2943" w:type="dxa"/>
            <w:tcBorders>
              <w:top w:val="nil"/>
              <w:left w:val="nil"/>
              <w:bottom w:val="nil"/>
              <w:right w:val="nil"/>
            </w:tcBorders>
          </w:tcPr>
          <w:p w:rsidR="006C6E2F" w:rsidRPr="008046DF" w:rsidRDefault="006C6E2F" w:rsidP="006C6E2F">
            <w:pPr>
              <w:pStyle w:val="Aeeaoaeaa1"/>
              <w:widowControl/>
              <w:spacing w:before="40" w:after="40"/>
              <w:rPr>
                <w:b w:val="0"/>
                <w:sz w:val="22"/>
                <w:lang w:val="it-IT"/>
              </w:rPr>
            </w:pPr>
          </w:p>
        </w:tc>
        <w:tc>
          <w:tcPr>
            <w:tcW w:w="284" w:type="dxa"/>
            <w:tcBorders>
              <w:top w:val="nil"/>
              <w:left w:val="nil"/>
              <w:bottom w:val="nil"/>
              <w:right w:val="nil"/>
            </w:tcBorders>
          </w:tcPr>
          <w:p w:rsidR="006C6E2F" w:rsidRPr="008046DF" w:rsidRDefault="006C6E2F" w:rsidP="006C6E2F">
            <w:pPr>
              <w:pStyle w:val="Aaoeeu"/>
              <w:widowControl/>
              <w:spacing w:before="40" w:after="40"/>
              <w:rPr>
                <w:lang w:val="it-IT"/>
              </w:rPr>
            </w:pPr>
          </w:p>
        </w:tc>
        <w:tc>
          <w:tcPr>
            <w:tcW w:w="7229" w:type="dxa"/>
            <w:tcBorders>
              <w:top w:val="nil"/>
              <w:left w:val="nil"/>
              <w:bottom w:val="nil"/>
              <w:right w:val="nil"/>
            </w:tcBorders>
          </w:tcPr>
          <w:p w:rsidR="006C6E2F" w:rsidRPr="00DA381B" w:rsidRDefault="006C6E2F" w:rsidP="000A6C7B">
            <w:pPr>
              <w:pStyle w:val="Eaoaeaa"/>
              <w:widowControl/>
              <w:tabs>
                <w:tab w:val="clear" w:pos="4153"/>
                <w:tab w:val="clear" w:pos="8306"/>
              </w:tabs>
              <w:spacing w:before="40" w:after="40"/>
              <w:rPr>
                <w:lang w:val="it-IT"/>
              </w:rPr>
            </w:pPr>
          </w:p>
        </w:tc>
      </w:tr>
      <w:tr w:rsidR="006C6E2F" w:rsidRPr="008046DF" w:rsidTr="007C437C">
        <w:tc>
          <w:tcPr>
            <w:tcW w:w="2943" w:type="dxa"/>
            <w:tcBorders>
              <w:top w:val="nil"/>
              <w:left w:val="nil"/>
              <w:bottom w:val="nil"/>
              <w:right w:val="nil"/>
            </w:tcBorders>
          </w:tcPr>
          <w:p w:rsidR="006C6E2F" w:rsidRPr="008046DF" w:rsidRDefault="006C6E2F" w:rsidP="006C6E2F">
            <w:pPr>
              <w:pStyle w:val="Aeeaoaeaa1"/>
              <w:widowControl/>
              <w:spacing w:before="40" w:after="40"/>
              <w:rPr>
                <w:b w:val="0"/>
                <w:sz w:val="22"/>
                <w:lang w:val="it-IT"/>
              </w:rPr>
            </w:pPr>
          </w:p>
        </w:tc>
        <w:tc>
          <w:tcPr>
            <w:tcW w:w="284" w:type="dxa"/>
            <w:tcBorders>
              <w:top w:val="nil"/>
              <w:left w:val="nil"/>
              <w:bottom w:val="nil"/>
              <w:right w:val="nil"/>
            </w:tcBorders>
          </w:tcPr>
          <w:p w:rsidR="006C6E2F" w:rsidRPr="008046DF" w:rsidRDefault="006C6E2F" w:rsidP="006C6E2F">
            <w:pPr>
              <w:pStyle w:val="Aaoeeu"/>
              <w:widowControl/>
              <w:spacing w:before="40" w:after="40"/>
              <w:rPr>
                <w:lang w:val="it-IT"/>
              </w:rPr>
            </w:pPr>
          </w:p>
        </w:tc>
        <w:tc>
          <w:tcPr>
            <w:tcW w:w="7229" w:type="dxa"/>
            <w:tcBorders>
              <w:top w:val="nil"/>
              <w:left w:val="nil"/>
              <w:bottom w:val="nil"/>
              <w:right w:val="nil"/>
            </w:tcBorders>
          </w:tcPr>
          <w:p w:rsidR="006C6E2F" w:rsidRPr="00DA381B" w:rsidRDefault="006C6E2F" w:rsidP="000A6C7B">
            <w:pPr>
              <w:pStyle w:val="Eaoaeaa"/>
              <w:widowControl/>
              <w:tabs>
                <w:tab w:val="clear" w:pos="4153"/>
                <w:tab w:val="clear" w:pos="8306"/>
              </w:tabs>
              <w:spacing w:before="40" w:after="40"/>
              <w:rPr>
                <w:lang w:val="it-IT"/>
              </w:rPr>
            </w:pPr>
          </w:p>
        </w:tc>
      </w:tr>
      <w:tr w:rsidR="006C6E2F" w:rsidRPr="00AF6BE0" w:rsidTr="007C437C">
        <w:tc>
          <w:tcPr>
            <w:tcW w:w="2943" w:type="dxa"/>
            <w:tcBorders>
              <w:top w:val="nil"/>
              <w:left w:val="nil"/>
              <w:bottom w:val="nil"/>
              <w:right w:val="nil"/>
            </w:tcBorders>
          </w:tcPr>
          <w:p w:rsidR="006C6E2F" w:rsidRPr="008046DF" w:rsidRDefault="006C6E2F" w:rsidP="006C6E2F">
            <w:pPr>
              <w:pStyle w:val="Aeeaoaeaa1"/>
              <w:widowControl/>
              <w:spacing w:before="40" w:after="40"/>
              <w:rPr>
                <w:b w:val="0"/>
                <w:sz w:val="22"/>
                <w:lang w:val="it-IT"/>
              </w:rPr>
            </w:pPr>
          </w:p>
        </w:tc>
        <w:tc>
          <w:tcPr>
            <w:tcW w:w="284" w:type="dxa"/>
            <w:tcBorders>
              <w:top w:val="nil"/>
              <w:left w:val="nil"/>
              <w:bottom w:val="nil"/>
              <w:right w:val="nil"/>
            </w:tcBorders>
          </w:tcPr>
          <w:p w:rsidR="006C6E2F" w:rsidRPr="008046DF" w:rsidRDefault="006C6E2F" w:rsidP="006C6E2F">
            <w:pPr>
              <w:pStyle w:val="Aaoeeu"/>
              <w:widowControl/>
              <w:spacing w:before="40" w:after="40"/>
              <w:rPr>
                <w:lang w:val="it-IT"/>
              </w:rPr>
            </w:pPr>
          </w:p>
        </w:tc>
        <w:tc>
          <w:tcPr>
            <w:tcW w:w="7229" w:type="dxa"/>
            <w:tcBorders>
              <w:top w:val="nil"/>
              <w:left w:val="nil"/>
              <w:bottom w:val="nil"/>
              <w:right w:val="nil"/>
            </w:tcBorders>
          </w:tcPr>
          <w:p w:rsidR="006C6E2F" w:rsidRPr="00AF6BE0" w:rsidRDefault="006C6E2F" w:rsidP="00AF6BE0">
            <w:pPr>
              <w:pStyle w:val="Eaoaeaa"/>
              <w:widowControl/>
              <w:tabs>
                <w:tab w:val="clear" w:pos="4153"/>
                <w:tab w:val="clear" w:pos="8306"/>
              </w:tabs>
              <w:spacing w:before="40" w:after="40"/>
              <w:rPr>
                <w:lang w:val="it-IT"/>
              </w:rPr>
            </w:pPr>
          </w:p>
        </w:tc>
      </w:tr>
      <w:tr w:rsidR="006C6E2F" w:rsidRPr="00AF6BE0" w:rsidTr="007C437C">
        <w:trPr>
          <w:trHeight w:val="80"/>
        </w:trPr>
        <w:tc>
          <w:tcPr>
            <w:tcW w:w="2943" w:type="dxa"/>
            <w:tcBorders>
              <w:top w:val="nil"/>
              <w:left w:val="nil"/>
              <w:bottom w:val="nil"/>
              <w:right w:val="nil"/>
            </w:tcBorders>
          </w:tcPr>
          <w:p w:rsidR="006C6E2F" w:rsidRPr="00AF6BE0" w:rsidRDefault="006C6E2F" w:rsidP="006C6E2F">
            <w:pPr>
              <w:pStyle w:val="Aeeaoaeaa1"/>
              <w:widowControl/>
              <w:rPr>
                <w:b w:val="0"/>
                <w:lang w:val="it-IT"/>
              </w:rPr>
            </w:pPr>
          </w:p>
        </w:tc>
        <w:tc>
          <w:tcPr>
            <w:tcW w:w="284" w:type="dxa"/>
            <w:tcBorders>
              <w:top w:val="nil"/>
              <w:left w:val="nil"/>
              <w:bottom w:val="nil"/>
              <w:right w:val="nil"/>
            </w:tcBorders>
          </w:tcPr>
          <w:p w:rsidR="006C6E2F" w:rsidRPr="00AF6BE0" w:rsidRDefault="006C6E2F" w:rsidP="006C6E2F">
            <w:pPr>
              <w:pStyle w:val="Aaoeeu"/>
              <w:widowControl/>
              <w:rPr>
                <w:lang w:val="it-IT"/>
              </w:rPr>
            </w:pPr>
          </w:p>
        </w:tc>
        <w:tc>
          <w:tcPr>
            <w:tcW w:w="7229" w:type="dxa"/>
            <w:tcBorders>
              <w:top w:val="nil"/>
              <w:left w:val="nil"/>
              <w:bottom w:val="nil"/>
              <w:right w:val="nil"/>
            </w:tcBorders>
          </w:tcPr>
          <w:p w:rsidR="006C6E2F" w:rsidRPr="00AF6BE0" w:rsidRDefault="006C6E2F" w:rsidP="006C6E2F">
            <w:pPr>
              <w:pStyle w:val="Eaoaeaa"/>
              <w:widowControl/>
              <w:tabs>
                <w:tab w:val="clear" w:pos="4153"/>
                <w:tab w:val="clear" w:pos="8306"/>
              </w:tabs>
              <w:rPr>
                <w:lang w:val="it-IT"/>
              </w:rPr>
            </w:pPr>
          </w:p>
        </w:tc>
      </w:tr>
      <w:tr w:rsidR="006C6E2F" w:rsidRPr="008046DF" w:rsidTr="007C437C">
        <w:tc>
          <w:tcPr>
            <w:tcW w:w="2943" w:type="dxa"/>
            <w:tcBorders>
              <w:top w:val="nil"/>
              <w:left w:val="nil"/>
              <w:bottom w:val="nil"/>
              <w:right w:val="nil"/>
            </w:tcBorders>
          </w:tcPr>
          <w:p w:rsidR="006C6E2F" w:rsidRPr="008046DF" w:rsidRDefault="006C6E2F" w:rsidP="003F2E1A">
            <w:pPr>
              <w:pStyle w:val="Aeeaoaeaa1"/>
              <w:widowControl/>
              <w:rPr>
                <w:lang w:val="it-IT"/>
              </w:rPr>
            </w:pPr>
          </w:p>
        </w:tc>
        <w:tc>
          <w:tcPr>
            <w:tcW w:w="284" w:type="dxa"/>
            <w:tcBorders>
              <w:top w:val="nil"/>
              <w:left w:val="nil"/>
              <w:bottom w:val="nil"/>
              <w:right w:val="nil"/>
            </w:tcBorders>
          </w:tcPr>
          <w:p w:rsidR="006C6E2F" w:rsidRPr="008046DF" w:rsidRDefault="006C6E2F" w:rsidP="006C6E2F">
            <w:pPr>
              <w:pStyle w:val="Aaoeeu"/>
              <w:widowControl/>
              <w:rPr>
                <w:lang w:val="it-IT"/>
              </w:rPr>
            </w:pPr>
          </w:p>
        </w:tc>
        <w:tc>
          <w:tcPr>
            <w:tcW w:w="7229" w:type="dxa"/>
            <w:tcBorders>
              <w:top w:val="nil"/>
              <w:left w:val="nil"/>
              <w:bottom w:val="nil"/>
              <w:right w:val="nil"/>
            </w:tcBorders>
          </w:tcPr>
          <w:p w:rsidR="006C6E2F" w:rsidRPr="00DA381B" w:rsidRDefault="006C6E2F" w:rsidP="007D5138">
            <w:pPr>
              <w:pStyle w:val="Eaoaeaa"/>
              <w:widowControl/>
              <w:tabs>
                <w:tab w:val="clear" w:pos="4153"/>
                <w:tab w:val="clear" w:pos="8306"/>
              </w:tabs>
              <w:rPr>
                <w:lang w:val="it-IT"/>
              </w:rPr>
            </w:pPr>
          </w:p>
        </w:tc>
      </w:tr>
    </w:tbl>
    <w:p w:rsidR="006C6E2F" w:rsidRPr="008046DF" w:rsidRDefault="006C6E2F" w:rsidP="006C6E2F">
      <w:pPr>
        <w:pStyle w:val="Aaoeeu"/>
        <w:widowControl/>
        <w:rPr>
          <w:lang w:val="it-IT"/>
        </w:rPr>
      </w:pPr>
    </w:p>
    <w:p w:rsidR="006C6E2F" w:rsidRPr="008046DF" w:rsidRDefault="006C6E2F" w:rsidP="006C6E2F">
      <w:pPr>
        <w:pStyle w:val="Aaoeeu"/>
        <w:widowControl/>
        <w:rPr>
          <w:lang w:val="it-IT"/>
        </w:rPr>
      </w:pPr>
    </w:p>
    <w:tbl>
      <w:tblPr>
        <w:tblpPr w:leftFromText="141" w:rightFromText="141" w:vertAnchor="text" w:tblpY="1"/>
        <w:tblOverlap w:val="neve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RPr="008046DF" w:rsidTr="001A20A0">
        <w:trPr>
          <w:gridAfter w:val="2"/>
          <w:wAfter w:w="7513" w:type="dxa"/>
        </w:trPr>
        <w:tc>
          <w:tcPr>
            <w:tcW w:w="2943" w:type="dxa"/>
            <w:tcBorders>
              <w:top w:val="nil"/>
              <w:left w:val="nil"/>
              <w:bottom w:val="nil"/>
              <w:right w:val="nil"/>
            </w:tcBorders>
          </w:tcPr>
          <w:p w:rsidR="006C6E2F" w:rsidRPr="008046DF" w:rsidRDefault="00DF5D2D" w:rsidP="001A20A0">
            <w:pPr>
              <w:pStyle w:val="Aeeaoaeaa1"/>
              <w:widowControl/>
              <w:rPr>
                <w:smallCaps/>
                <w:sz w:val="24"/>
                <w:lang w:val="it-IT"/>
              </w:rPr>
            </w:pPr>
            <w:r w:rsidRPr="008046DF">
              <w:rPr>
                <w:smallCaps/>
                <w:sz w:val="24"/>
                <w:lang w:val="it-IT"/>
              </w:rPr>
              <w:t>Luogo di Lavoro</w:t>
            </w:r>
          </w:p>
        </w:tc>
      </w:tr>
      <w:tr w:rsidR="006C6E2F" w:rsidRPr="008046DF" w:rsidTr="001A20A0">
        <w:tc>
          <w:tcPr>
            <w:tcW w:w="2943" w:type="dxa"/>
            <w:tcBorders>
              <w:top w:val="nil"/>
              <w:left w:val="nil"/>
              <w:bottom w:val="nil"/>
              <w:right w:val="nil"/>
            </w:tcBorders>
          </w:tcPr>
          <w:p w:rsidR="006C6E2F" w:rsidRPr="008046DF" w:rsidRDefault="006C6E2F" w:rsidP="001A20A0">
            <w:pPr>
              <w:pStyle w:val="OiaeaeiYiio2"/>
              <w:widowControl/>
              <w:spacing w:before="20" w:after="20"/>
              <w:rPr>
                <w:i w:val="0"/>
                <w:sz w:val="18"/>
                <w:lang w:val="it-IT"/>
              </w:rPr>
            </w:pPr>
            <w:r w:rsidRPr="008046DF">
              <w:rPr>
                <w:b/>
                <w:lang w:val="it-IT"/>
              </w:rPr>
              <w:tab/>
            </w:r>
          </w:p>
        </w:tc>
        <w:tc>
          <w:tcPr>
            <w:tcW w:w="284" w:type="dxa"/>
            <w:tcBorders>
              <w:top w:val="nil"/>
              <w:left w:val="nil"/>
              <w:bottom w:val="nil"/>
              <w:right w:val="nil"/>
            </w:tcBorders>
          </w:tcPr>
          <w:p w:rsidR="006C6E2F" w:rsidRPr="008046DF" w:rsidRDefault="006C6E2F" w:rsidP="001A20A0">
            <w:pPr>
              <w:pStyle w:val="Aaoeeu"/>
              <w:widowControl/>
              <w:spacing w:before="20" w:after="20"/>
              <w:rPr>
                <w:lang w:val="it-IT"/>
              </w:rPr>
            </w:pPr>
          </w:p>
        </w:tc>
        <w:tc>
          <w:tcPr>
            <w:tcW w:w="7229" w:type="dxa"/>
            <w:tcBorders>
              <w:top w:val="nil"/>
              <w:left w:val="nil"/>
              <w:bottom w:val="nil"/>
              <w:right w:val="nil"/>
            </w:tcBorders>
          </w:tcPr>
          <w:p w:rsidR="006C6E2F" w:rsidRPr="008046DF" w:rsidRDefault="006C6E2F" w:rsidP="001A20A0">
            <w:pPr>
              <w:pStyle w:val="OiaeaeiYiio2"/>
              <w:widowControl/>
              <w:spacing w:before="20" w:after="20"/>
              <w:jc w:val="left"/>
              <w:rPr>
                <w:i w:val="0"/>
                <w:sz w:val="20"/>
                <w:lang w:val="it-IT"/>
              </w:rPr>
            </w:pPr>
          </w:p>
        </w:tc>
      </w:tr>
      <w:tr w:rsidR="006C6E2F" w:rsidRPr="008046DF" w:rsidTr="001A20A0">
        <w:tc>
          <w:tcPr>
            <w:tcW w:w="2943" w:type="dxa"/>
            <w:tcBorders>
              <w:top w:val="nil"/>
              <w:left w:val="nil"/>
              <w:bottom w:val="nil"/>
              <w:right w:val="nil"/>
            </w:tcBorders>
          </w:tcPr>
          <w:p w:rsidR="006C6E2F" w:rsidRPr="008046DF" w:rsidRDefault="006C6E2F" w:rsidP="001A20A0">
            <w:pPr>
              <w:pStyle w:val="OiaeaeiYiio2"/>
              <w:widowControl/>
              <w:spacing w:before="20" w:after="20"/>
              <w:rPr>
                <w:i w:val="0"/>
                <w:sz w:val="18"/>
                <w:lang w:val="it-IT"/>
              </w:rPr>
            </w:pPr>
            <w:r w:rsidRPr="008046DF">
              <w:rPr>
                <w:i w:val="0"/>
                <w:sz w:val="20"/>
                <w:lang w:val="it-IT"/>
              </w:rPr>
              <w:t>Nome e indirizzo d</w:t>
            </w:r>
            <w:r w:rsidR="009821FD">
              <w:rPr>
                <w:i w:val="0"/>
                <w:sz w:val="20"/>
                <w:lang w:val="it-IT"/>
              </w:rPr>
              <w:t>e</w:t>
            </w:r>
            <w:r w:rsidRPr="008046DF">
              <w:rPr>
                <w:i w:val="0"/>
                <w:sz w:val="20"/>
                <w:lang w:val="it-IT"/>
              </w:rPr>
              <w:t>l datore di lavoro</w:t>
            </w:r>
          </w:p>
        </w:tc>
        <w:tc>
          <w:tcPr>
            <w:tcW w:w="284" w:type="dxa"/>
            <w:tcBorders>
              <w:top w:val="nil"/>
              <w:left w:val="nil"/>
              <w:bottom w:val="nil"/>
              <w:right w:val="nil"/>
            </w:tcBorders>
          </w:tcPr>
          <w:p w:rsidR="006C6E2F" w:rsidRPr="008046DF" w:rsidRDefault="006C6E2F" w:rsidP="001A20A0">
            <w:pPr>
              <w:pStyle w:val="Aaoeeu"/>
              <w:widowControl/>
              <w:spacing w:before="20" w:after="20"/>
              <w:rPr>
                <w:lang w:val="it-IT"/>
              </w:rPr>
            </w:pPr>
          </w:p>
        </w:tc>
        <w:tc>
          <w:tcPr>
            <w:tcW w:w="7229" w:type="dxa"/>
            <w:tcBorders>
              <w:top w:val="nil"/>
              <w:left w:val="nil"/>
              <w:bottom w:val="nil"/>
              <w:right w:val="nil"/>
            </w:tcBorders>
          </w:tcPr>
          <w:p w:rsidR="006C6E2F" w:rsidRPr="008046DF" w:rsidRDefault="00DF5D2D" w:rsidP="001A20A0">
            <w:pPr>
              <w:pStyle w:val="OiaeaeiYiio2"/>
              <w:widowControl/>
              <w:spacing w:before="20" w:after="20"/>
              <w:jc w:val="left"/>
              <w:rPr>
                <w:i w:val="0"/>
                <w:sz w:val="20"/>
                <w:lang w:val="it-IT"/>
              </w:rPr>
            </w:pPr>
            <w:r w:rsidRPr="008046DF">
              <w:rPr>
                <w:i w:val="0"/>
                <w:sz w:val="20"/>
                <w:lang w:val="it-IT"/>
              </w:rPr>
              <w:t>Università Cattolica del Sacro Cuore</w:t>
            </w:r>
            <w:r w:rsidR="006533F0">
              <w:rPr>
                <w:i w:val="0"/>
                <w:sz w:val="20"/>
                <w:lang w:val="it-IT"/>
              </w:rPr>
              <w:t xml:space="preserve"> (UCSC)</w:t>
            </w:r>
            <w:r w:rsidRPr="008046DF">
              <w:rPr>
                <w:i w:val="0"/>
                <w:sz w:val="20"/>
                <w:lang w:val="it-IT"/>
              </w:rPr>
              <w:t xml:space="preserve">, Facoltà di Medicina e Chirurgia, </w:t>
            </w:r>
            <w:r w:rsidR="00785D5D">
              <w:rPr>
                <w:i w:val="0"/>
                <w:sz w:val="20"/>
                <w:lang w:val="it-IT"/>
              </w:rPr>
              <w:t xml:space="preserve">Istituto di Medicina Interna e Geriatria, </w:t>
            </w:r>
            <w:r w:rsidRPr="008046DF">
              <w:rPr>
                <w:i w:val="0"/>
                <w:sz w:val="20"/>
                <w:lang w:val="it-IT"/>
              </w:rPr>
              <w:t xml:space="preserve">Policlinico Agostino Gemelli, </w:t>
            </w:r>
            <w:r w:rsidR="00D71FC2" w:rsidRPr="008046DF">
              <w:rPr>
                <w:i w:val="0"/>
                <w:sz w:val="20"/>
                <w:lang w:val="it-IT"/>
              </w:rPr>
              <w:t xml:space="preserve">Largo </w:t>
            </w:r>
            <w:r w:rsidR="00785D5D">
              <w:rPr>
                <w:i w:val="0"/>
                <w:sz w:val="20"/>
                <w:lang w:val="it-IT"/>
              </w:rPr>
              <w:t>F. Vito 1</w:t>
            </w:r>
            <w:r w:rsidR="00D71FC2" w:rsidRPr="008046DF">
              <w:rPr>
                <w:i w:val="0"/>
                <w:sz w:val="20"/>
                <w:lang w:val="it-IT"/>
              </w:rPr>
              <w:t>, Roma</w:t>
            </w:r>
          </w:p>
        </w:tc>
      </w:tr>
      <w:tr w:rsidR="006C6E2F" w:rsidRPr="008046DF" w:rsidTr="001A20A0">
        <w:tc>
          <w:tcPr>
            <w:tcW w:w="2943" w:type="dxa"/>
            <w:tcBorders>
              <w:top w:val="nil"/>
              <w:left w:val="nil"/>
              <w:bottom w:val="nil"/>
              <w:right w:val="nil"/>
            </w:tcBorders>
          </w:tcPr>
          <w:p w:rsidR="006C6E2F" w:rsidRPr="008046DF" w:rsidRDefault="006C6E2F" w:rsidP="001A20A0">
            <w:pPr>
              <w:pStyle w:val="OiaeaeiYiio2"/>
              <w:widowControl/>
              <w:spacing w:before="20" w:after="20"/>
              <w:jc w:val="left"/>
              <w:rPr>
                <w:i w:val="0"/>
                <w:sz w:val="20"/>
                <w:lang w:val="it-IT"/>
              </w:rPr>
            </w:pPr>
          </w:p>
        </w:tc>
        <w:tc>
          <w:tcPr>
            <w:tcW w:w="284" w:type="dxa"/>
            <w:tcBorders>
              <w:top w:val="nil"/>
              <w:left w:val="nil"/>
              <w:bottom w:val="nil"/>
              <w:right w:val="nil"/>
            </w:tcBorders>
          </w:tcPr>
          <w:p w:rsidR="006C6E2F" w:rsidRPr="008046DF" w:rsidRDefault="006C6E2F" w:rsidP="001A20A0">
            <w:pPr>
              <w:pStyle w:val="Aaoeeu"/>
              <w:widowControl/>
              <w:spacing w:before="20" w:after="20"/>
              <w:rPr>
                <w:lang w:val="it-IT"/>
              </w:rPr>
            </w:pPr>
          </w:p>
        </w:tc>
        <w:tc>
          <w:tcPr>
            <w:tcW w:w="7229" w:type="dxa"/>
            <w:tcBorders>
              <w:top w:val="nil"/>
              <w:left w:val="nil"/>
              <w:bottom w:val="nil"/>
              <w:right w:val="nil"/>
            </w:tcBorders>
          </w:tcPr>
          <w:p w:rsidR="006C6E2F" w:rsidRPr="008046DF" w:rsidRDefault="006C6E2F" w:rsidP="001A20A0">
            <w:pPr>
              <w:pStyle w:val="OiaeaeiYiio2"/>
              <w:widowControl/>
              <w:spacing w:before="20" w:after="20"/>
              <w:jc w:val="left"/>
              <w:rPr>
                <w:i w:val="0"/>
                <w:sz w:val="20"/>
                <w:lang w:val="it-IT"/>
              </w:rPr>
            </w:pPr>
          </w:p>
        </w:tc>
      </w:tr>
      <w:tr w:rsidR="006C6E2F" w:rsidRPr="008046DF" w:rsidTr="001A20A0">
        <w:tc>
          <w:tcPr>
            <w:tcW w:w="2943" w:type="dxa"/>
            <w:tcBorders>
              <w:top w:val="nil"/>
              <w:left w:val="nil"/>
              <w:bottom w:val="nil"/>
              <w:right w:val="nil"/>
            </w:tcBorders>
          </w:tcPr>
          <w:p w:rsidR="006C6E2F" w:rsidRPr="008046DF" w:rsidRDefault="006C6E2F" w:rsidP="001A20A0">
            <w:pPr>
              <w:pStyle w:val="OiaeaeiYiio2"/>
              <w:widowControl/>
              <w:spacing w:before="20" w:after="20"/>
              <w:rPr>
                <w:i w:val="0"/>
                <w:sz w:val="18"/>
                <w:lang w:val="it-IT"/>
              </w:rPr>
            </w:pPr>
            <w:r w:rsidRPr="008046DF">
              <w:rPr>
                <w:i w:val="0"/>
                <w:sz w:val="20"/>
                <w:lang w:val="it-IT"/>
              </w:rPr>
              <w:t>Tipo di impiego</w:t>
            </w:r>
            <w:r w:rsidR="00A70E13">
              <w:rPr>
                <w:i w:val="0"/>
                <w:sz w:val="20"/>
                <w:lang w:val="it-IT"/>
              </w:rPr>
              <w:t>,</w:t>
            </w:r>
          </w:p>
        </w:tc>
        <w:tc>
          <w:tcPr>
            <w:tcW w:w="284" w:type="dxa"/>
            <w:tcBorders>
              <w:top w:val="nil"/>
              <w:left w:val="nil"/>
              <w:bottom w:val="nil"/>
              <w:right w:val="nil"/>
            </w:tcBorders>
          </w:tcPr>
          <w:p w:rsidR="006C6E2F" w:rsidRPr="008046DF" w:rsidRDefault="006C6E2F" w:rsidP="001A20A0">
            <w:pPr>
              <w:pStyle w:val="Aaoeeu"/>
              <w:widowControl/>
              <w:spacing w:before="20" w:after="20"/>
              <w:rPr>
                <w:lang w:val="it-IT"/>
              </w:rPr>
            </w:pPr>
          </w:p>
        </w:tc>
        <w:tc>
          <w:tcPr>
            <w:tcW w:w="7229" w:type="dxa"/>
            <w:tcBorders>
              <w:top w:val="nil"/>
              <w:left w:val="nil"/>
              <w:bottom w:val="nil"/>
              <w:right w:val="nil"/>
            </w:tcBorders>
          </w:tcPr>
          <w:p w:rsidR="006C6E2F" w:rsidRPr="008046DF" w:rsidRDefault="00DF5D2D" w:rsidP="001A20A0">
            <w:pPr>
              <w:pStyle w:val="OiaeaeiYiio2"/>
              <w:widowControl/>
              <w:spacing w:before="20" w:after="20"/>
              <w:jc w:val="left"/>
              <w:rPr>
                <w:i w:val="0"/>
                <w:sz w:val="20"/>
                <w:lang w:val="it-IT"/>
              </w:rPr>
            </w:pPr>
            <w:r w:rsidRPr="008046DF">
              <w:rPr>
                <w:i w:val="0"/>
                <w:sz w:val="20"/>
                <w:lang w:val="it-IT"/>
              </w:rPr>
              <w:t xml:space="preserve">Professore Associato </w:t>
            </w:r>
            <w:r w:rsidR="00A1316D">
              <w:rPr>
                <w:i w:val="0"/>
                <w:sz w:val="20"/>
                <w:lang w:val="it-IT"/>
              </w:rPr>
              <w:t>C</w:t>
            </w:r>
            <w:r w:rsidRPr="008046DF">
              <w:rPr>
                <w:i w:val="0"/>
                <w:sz w:val="20"/>
                <w:lang w:val="it-IT"/>
              </w:rPr>
              <w:t>onfermato</w:t>
            </w:r>
            <w:r w:rsidR="00A1316D">
              <w:rPr>
                <w:i w:val="0"/>
                <w:sz w:val="20"/>
                <w:lang w:val="it-IT"/>
              </w:rPr>
              <w:t xml:space="preserve">, </w:t>
            </w:r>
            <w:r w:rsidRPr="008046DF">
              <w:rPr>
                <w:i w:val="0"/>
                <w:sz w:val="20"/>
                <w:lang w:val="it-IT"/>
              </w:rPr>
              <w:t>Medicina Interna</w:t>
            </w:r>
            <w:r w:rsidR="00A1316D">
              <w:rPr>
                <w:i w:val="0"/>
                <w:sz w:val="20"/>
                <w:lang w:val="it-IT"/>
              </w:rPr>
              <w:t xml:space="preserve">, </w:t>
            </w:r>
            <w:r w:rsidRPr="008046DF">
              <w:rPr>
                <w:i w:val="0"/>
                <w:sz w:val="20"/>
                <w:lang w:val="it-IT"/>
              </w:rPr>
              <w:t>Dirigente Medico</w:t>
            </w:r>
          </w:p>
        </w:tc>
      </w:tr>
      <w:tr w:rsidR="006C6E2F" w:rsidRPr="008046DF" w:rsidTr="001A20A0">
        <w:tc>
          <w:tcPr>
            <w:tcW w:w="2943" w:type="dxa"/>
            <w:tcBorders>
              <w:top w:val="nil"/>
              <w:left w:val="nil"/>
              <w:bottom w:val="nil"/>
              <w:right w:val="nil"/>
            </w:tcBorders>
          </w:tcPr>
          <w:p w:rsidR="006C6E2F" w:rsidRPr="008046DF" w:rsidRDefault="00A70E13" w:rsidP="001A20A0">
            <w:pPr>
              <w:pStyle w:val="OiaeaeiYiio2"/>
              <w:widowControl/>
              <w:spacing w:before="20" w:after="20"/>
              <w:rPr>
                <w:i w:val="0"/>
                <w:sz w:val="18"/>
                <w:lang w:val="it-IT"/>
              </w:rPr>
            </w:pPr>
            <w:r>
              <w:rPr>
                <w:i w:val="0"/>
                <w:sz w:val="20"/>
                <w:lang w:val="it-IT"/>
              </w:rPr>
              <w:t xml:space="preserve"> </w:t>
            </w:r>
            <w:proofErr w:type="gramStart"/>
            <w:r>
              <w:rPr>
                <w:i w:val="0"/>
                <w:sz w:val="20"/>
                <w:lang w:val="it-IT"/>
              </w:rPr>
              <w:t>p</w:t>
            </w:r>
            <w:r w:rsidR="006C6E2F" w:rsidRPr="008046DF">
              <w:rPr>
                <w:i w:val="0"/>
                <w:sz w:val="20"/>
                <w:lang w:val="it-IT"/>
              </w:rPr>
              <w:t>rincipali</w:t>
            </w:r>
            <w:proofErr w:type="gramEnd"/>
            <w:r w:rsidR="006C6E2F" w:rsidRPr="008046DF">
              <w:rPr>
                <w:i w:val="0"/>
                <w:sz w:val="20"/>
                <w:lang w:val="it-IT"/>
              </w:rPr>
              <w:t xml:space="preserve"> mansioni e responsabilità</w:t>
            </w:r>
          </w:p>
        </w:tc>
        <w:tc>
          <w:tcPr>
            <w:tcW w:w="284" w:type="dxa"/>
            <w:tcBorders>
              <w:top w:val="nil"/>
              <w:left w:val="nil"/>
              <w:bottom w:val="nil"/>
              <w:right w:val="nil"/>
            </w:tcBorders>
          </w:tcPr>
          <w:p w:rsidR="006C6E2F" w:rsidRPr="008046DF" w:rsidRDefault="006C6E2F" w:rsidP="001A20A0">
            <w:pPr>
              <w:pStyle w:val="Aaoeeu"/>
              <w:widowControl/>
              <w:spacing w:before="20" w:after="20"/>
              <w:rPr>
                <w:lang w:val="it-IT"/>
              </w:rPr>
            </w:pPr>
          </w:p>
        </w:tc>
        <w:tc>
          <w:tcPr>
            <w:tcW w:w="7229" w:type="dxa"/>
            <w:tcBorders>
              <w:top w:val="nil"/>
              <w:left w:val="nil"/>
              <w:bottom w:val="nil"/>
              <w:right w:val="nil"/>
            </w:tcBorders>
          </w:tcPr>
          <w:p w:rsidR="006C6E2F" w:rsidRPr="008046DF" w:rsidRDefault="00DF5D2D" w:rsidP="001A20A0">
            <w:pPr>
              <w:pStyle w:val="OiaeaeiYiio2"/>
              <w:widowControl/>
              <w:spacing w:before="20" w:after="20"/>
              <w:jc w:val="left"/>
              <w:rPr>
                <w:i w:val="0"/>
                <w:sz w:val="20"/>
                <w:lang w:val="it-IT"/>
              </w:rPr>
            </w:pPr>
            <w:r w:rsidRPr="008046DF">
              <w:rPr>
                <w:i w:val="0"/>
                <w:sz w:val="20"/>
                <w:lang w:val="it-IT"/>
              </w:rPr>
              <w:t>Responsabile di U</w:t>
            </w:r>
            <w:r w:rsidR="00A65BC5">
              <w:rPr>
                <w:i w:val="0"/>
                <w:sz w:val="20"/>
                <w:lang w:val="it-IT"/>
              </w:rPr>
              <w:t>OS</w:t>
            </w:r>
            <w:r w:rsidR="00A331CA">
              <w:rPr>
                <w:i w:val="0"/>
                <w:sz w:val="20"/>
                <w:lang w:val="it-IT"/>
              </w:rPr>
              <w:t xml:space="preserve"> </w:t>
            </w:r>
            <w:r w:rsidR="00D71FC2" w:rsidRPr="008046DF">
              <w:rPr>
                <w:i w:val="0"/>
                <w:sz w:val="20"/>
                <w:lang w:val="it-IT"/>
              </w:rPr>
              <w:t>“</w:t>
            </w:r>
            <w:r w:rsidRPr="008046DF">
              <w:rPr>
                <w:i w:val="0"/>
                <w:sz w:val="20"/>
                <w:lang w:val="it-IT"/>
              </w:rPr>
              <w:t>M</w:t>
            </w:r>
            <w:r w:rsidR="00D71FC2" w:rsidRPr="008046DF">
              <w:rPr>
                <w:i w:val="0"/>
                <w:sz w:val="20"/>
                <w:lang w:val="it-IT"/>
              </w:rPr>
              <w:t>alattie Infiammatorie Intestinali e Prevenzione Oncologica”</w:t>
            </w:r>
            <w:r w:rsidR="00A331CA">
              <w:rPr>
                <w:i w:val="0"/>
                <w:sz w:val="20"/>
                <w:lang w:val="it-IT"/>
              </w:rPr>
              <w:t>,</w:t>
            </w:r>
            <w:r w:rsidR="00A1316D">
              <w:rPr>
                <w:i w:val="0"/>
                <w:sz w:val="20"/>
                <w:lang w:val="it-IT"/>
              </w:rPr>
              <w:t xml:space="preserve"> Polo Apparato digerente e Sistema Endocrino-Metabolico, Area di Gastroenterologia</w:t>
            </w:r>
            <w:r w:rsidR="00785D5D" w:rsidRPr="008046DF">
              <w:rPr>
                <w:i w:val="0"/>
                <w:sz w:val="20"/>
                <w:lang w:val="it-IT"/>
              </w:rPr>
              <w:t>, U.O.C. di Medicina Interna e Gastroenterologia</w:t>
            </w:r>
            <w:r w:rsidR="00785D5D">
              <w:rPr>
                <w:i w:val="0"/>
                <w:sz w:val="20"/>
                <w:lang w:val="it-IT"/>
              </w:rPr>
              <w:t>.</w:t>
            </w:r>
            <w:r w:rsidR="00785D5D" w:rsidRPr="008046DF">
              <w:rPr>
                <w:i w:val="0"/>
                <w:sz w:val="20"/>
                <w:lang w:val="it-IT"/>
              </w:rPr>
              <w:t xml:space="preserve"> </w:t>
            </w:r>
          </w:p>
        </w:tc>
      </w:tr>
    </w:tbl>
    <w:p w:rsidR="006C6E2F" w:rsidRPr="008046DF" w:rsidRDefault="001A20A0" w:rsidP="006C6E2F">
      <w:pPr>
        <w:pStyle w:val="Aaoeeu"/>
        <w:widowControl/>
        <w:rPr>
          <w:lang w:val="it-IT"/>
        </w:rPr>
      </w:pPr>
      <w:r>
        <w:rPr>
          <w:lang w:val="it-IT"/>
        </w:rPr>
        <w:br w:type="textWrapping" w:clear="all"/>
      </w:r>
    </w:p>
    <w:p w:rsidR="006C6E2F" w:rsidRPr="008046DF" w:rsidRDefault="006C6E2F" w:rsidP="006C6E2F">
      <w:pPr>
        <w:pStyle w:val="Aaoeeu"/>
        <w:widowControl/>
        <w:rPr>
          <w:lang w:val="it-IT"/>
        </w:rPr>
      </w:pPr>
    </w:p>
    <w:tbl>
      <w:tblPr>
        <w:tblpPr w:leftFromText="141" w:rightFromText="141" w:vertAnchor="text" w:tblpY="1"/>
        <w:tblOverlap w:val="neve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RPr="008046DF" w:rsidTr="001A20A0">
        <w:trPr>
          <w:gridAfter w:val="2"/>
          <w:wAfter w:w="7513" w:type="dxa"/>
        </w:trPr>
        <w:tc>
          <w:tcPr>
            <w:tcW w:w="2943" w:type="dxa"/>
            <w:tcBorders>
              <w:top w:val="nil"/>
              <w:left w:val="nil"/>
              <w:bottom w:val="nil"/>
              <w:right w:val="nil"/>
            </w:tcBorders>
          </w:tcPr>
          <w:p w:rsidR="006C6E2F" w:rsidRPr="008046DF" w:rsidRDefault="00550611" w:rsidP="001A20A0">
            <w:pPr>
              <w:pStyle w:val="Aeeaoaeaa1"/>
              <w:widowControl/>
              <w:rPr>
                <w:smallCaps/>
                <w:sz w:val="24"/>
                <w:lang w:val="it-IT"/>
              </w:rPr>
            </w:pPr>
            <w:r w:rsidRPr="008046DF">
              <w:rPr>
                <w:smallCaps/>
                <w:sz w:val="24"/>
                <w:lang w:val="it-IT"/>
              </w:rPr>
              <w:t>Principali note di carriera e f</w:t>
            </w:r>
            <w:r w:rsidR="006C6E2F" w:rsidRPr="008046DF">
              <w:rPr>
                <w:smallCaps/>
                <w:sz w:val="24"/>
                <w:lang w:val="it-IT"/>
              </w:rPr>
              <w:t>ormazione</w:t>
            </w:r>
          </w:p>
        </w:tc>
      </w:tr>
      <w:tr w:rsidR="006C6E2F" w:rsidRPr="008046DF" w:rsidTr="001A20A0">
        <w:tc>
          <w:tcPr>
            <w:tcW w:w="2943" w:type="dxa"/>
            <w:tcBorders>
              <w:top w:val="nil"/>
              <w:left w:val="nil"/>
              <w:bottom w:val="nil"/>
              <w:right w:val="nil"/>
            </w:tcBorders>
          </w:tcPr>
          <w:p w:rsidR="006C6E2F" w:rsidRPr="008046DF" w:rsidRDefault="006C6E2F" w:rsidP="001A20A0">
            <w:pPr>
              <w:pStyle w:val="OiaeaeiYiio2"/>
              <w:widowControl/>
              <w:rPr>
                <w:i w:val="0"/>
                <w:sz w:val="20"/>
                <w:lang w:val="it-IT"/>
              </w:rPr>
            </w:pPr>
          </w:p>
        </w:tc>
        <w:tc>
          <w:tcPr>
            <w:tcW w:w="284" w:type="dxa"/>
            <w:tcBorders>
              <w:top w:val="nil"/>
              <w:left w:val="nil"/>
              <w:bottom w:val="nil"/>
              <w:right w:val="nil"/>
            </w:tcBorders>
          </w:tcPr>
          <w:p w:rsidR="006C6E2F" w:rsidRPr="008046DF" w:rsidRDefault="006C6E2F" w:rsidP="001A20A0">
            <w:pPr>
              <w:pStyle w:val="Aaoeeu"/>
              <w:widowControl/>
              <w:rPr>
                <w:lang w:val="it-IT"/>
              </w:rPr>
            </w:pPr>
          </w:p>
        </w:tc>
        <w:tc>
          <w:tcPr>
            <w:tcW w:w="7229" w:type="dxa"/>
            <w:tcBorders>
              <w:top w:val="nil"/>
              <w:left w:val="nil"/>
              <w:bottom w:val="nil"/>
              <w:right w:val="nil"/>
            </w:tcBorders>
          </w:tcPr>
          <w:p w:rsidR="00550611" w:rsidRPr="008046DF" w:rsidRDefault="00550611" w:rsidP="001A20A0">
            <w:pPr>
              <w:pStyle w:val="OiaeaeiYiio2"/>
              <w:widowControl/>
              <w:jc w:val="left"/>
              <w:rPr>
                <w:i w:val="0"/>
                <w:sz w:val="20"/>
                <w:lang w:val="it-IT"/>
              </w:rPr>
            </w:pPr>
            <w:r w:rsidRPr="008046DF">
              <w:rPr>
                <w:i w:val="0"/>
                <w:sz w:val="20"/>
                <w:lang w:val="it-IT"/>
              </w:rPr>
              <w:t>Laurea in Medicina e Chirurgia presso l'U</w:t>
            </w:r>
            <w:r w:rsidR="006533F0">
              <w:rPr>
                <w:i w:val="0"/>
                <w:sz w:val="20"/>
                <w:lang w:val="it-IT"/>
              </w:rPr>
              <w:t xml:space="preserve">CSC </w:t>
            </w:r>
            <w:r w:rsidRPr="008046DF">
              <w:rPr>
                <w:i w:val="0"/>
                <w:sz w:val="20"/>
                <w:lang w:val="it-IT"/>
              </w:rPr>
              <w:t>di Roma</w:t>
            </w:r>
          </w:p>
        </w:tc>
      </w:tr>
      <w:tr w:rsidR="006C6E2F" w:rsidRPr="008046DF" w:rsidTr="001A20A0">
        <w:tc>
          <w:tcPr>
            <w:tcW w:w="2943" w:type="dxa"/>
            <w:tcBorders>
              <w:top w:val="nil"/>
              <w:left w:val="nil"/>
              <w:bottom w:val="nil"/>
              <w:right w:val="nil"/>
            </w:tcBorders>
          </w:tcPr>
          <w:p w:rsidR="006C6E2F" w:rsidRPr="008046DF" w:rsidRDefault="006C6E2F" w:rsidP="001A20A0">
            <w:pPr>
              <w:pStyle w:val="OiaeaeiYiio2"/>
              <w:widowControl/>
              <w:rPr>
                <w:i w:val="0"/>
                <w:sz w:val="20"/>
                <w:lang w:val="it-IT"/>
              </w:rPr>
            </w:pPr>
          </w:p>
        </w:tc>
        <w:tc>
          <w:tcPr>
            <w:tcW w:w="284" w:type="dxa"/>
            <w:tcBorders>
              <w:top w:val="nil"/>
              <w:left w:val="nil"/>
              <w:bottom w:val="nil"/>
              <w:right w:val="nil"/>
            </w:tcBorders>
          </w:tcPr>
          <w:p w:rsidR="006C6E2F" w:rsidRPr="008046DF" w:rsidRDefault="006C6E2F" w:rsidP="001A20A0">
            <w:pPr>
              <w:pStyle w:val="Aaoeeu"/>
              <w:widowControl/>
              <w:rPr>
                <w:lang w:val="it-IT"/>
              </w:rPr>
            </w:pPr>
          </w:p>
        </w:tc>
        <w:tc>
          <w:tcPr>
            <w:tcW w:w="7229" w:type="dxa"/>
            <w:tcBorders>
              <w:top w:val="nil"/>
              <w:left w:val="nil"/>
              <w:bottom w:val="nil"/>
              <w:right w:val="nil"/>
            </w:tcBorders>
          </w:tcPr>
          <w:p w:rsidR="00550611" w:rsidRPr="008046DF" w:rsidRDefault="00550611" w:rsidP="001A20A0">
            <w:pPr>
              <w:pStyle w:val="OiaeaeiYiio2"/>
              <w:widowControl/>
              <w:jc w:val="left"/>
              <w:rPr>
                <w:i w:val="0"/>
                <w:sz w:val="20"/>
                <w:lang w:val="it-IT"/>
              </w:rPr>
            </w:pPr>
          </w:p>
        </w:tc>
      </w:tr>
      <w:tr w:rsidR="006C6E2F" w:rsidRPr="008046DF" w:rsidTr="001A20A0">
        <w:tc>
          <w:tcPr>
            <w:tcW w:w="2943" w:type="dxa"/>
            <w:tcBorders>
              <w:top w:val="nil"/>
              <w:left w:val="nil"/>
              <w:bottom w:val="nil"/>
              <w:right w:val="nil"/>
            </w:tcBorders>
          </w:tcPr>
          <w:p w:rsidR="006C6E2F" w:rsidRPr="008046DF" w:rsidRDefault="006C6E2F" w:rsidP="001A20A0">
            <w:pPr>
              <w:pStyle w:val="OiaeaeiYiio2"/>
              <w:widowControl/>
              <w:rPr>
                <w:i w:val="0"/>
                <w:sz w:val="20"/>
                <w:lang w:val="it-IT"/>
              </w:rPr>
            </w:pPr>
          </w:p>
        </w:tc>
        <w:tc>
          <w:tcPr>
            <w:tcW w:w="284" w:type="dxa"/>
            <w:tcBorders>
              <w:top w:val="nil"/>
              <w:left w:val="nil"/>
              <w:bottom w:val="nil"/>
              <w:right w:val="nil"/>
            </w:tcBorders>
          </w:tcPr>
          <w:p w:rsidR="006C6E2F" w:rsidRPr="008046DF" w:rsidRDefault="006C6E2F" w:rsidP="001A20A0">
            <w:pPr>
              <w:pStyle w:val="Aaoeeu"/>
              <w:widowControl/>
              <w:rPr>
                <w:lang w:val="it-IT"/>
              </w:rPr>
            </w:pPr>
          </w:p>
        </w:tc>
        <w:tc>
          <w:tcPr>
            <w:tcW w:w="7229" w:type="dxa"/>
            <w:tcBorders>
              <w:top w:val="nil"/>
              <w:left w:val="nil"/>
              <w:bottom w:val="nil"/>
              <w:right w:val="nil"/>
            </w:tcBorders>
          </w:tcPr>
          <w:p w:rsidR="00550611" w:rsidRPr="008046DF" w:rsidRDefault="00550611" w:rsidP="001A20A0">
            <w:pPr>
              <w:pStyle w:val="OiaeaeiYiio2"/>
              <w:widowControl/>
              <w:jc w:val="left"/>
              <w:rPr>
                <w:i w:val="0"/>
                <w:sz w:val="20"/>
                <w:lang w:val="it-IT"/>
              </w:rPr>
            </w:pPr>
            <w:r w:rsidRPr="008046DF">
              <w:rPr>
                <w:i w:val="0"/>
                <w:sz w:val="20"/>
                <w:lang w:val="it-IT"/>
              </w:rPr>
              <w:t>Specializzazione in Gastroenterologia ed Endoscopia Digestiva presso l'U</w:t>
            </w:r>
            <w:r w:rsidR="006533F0">
              <w:rPr>
                <w:i w:val="0"/>
                <w:sz w:val="20"/>
                <w:lang w:val="it-IT"/>
              </w:rPr>
              <w:t>CSC</w:t>
            </w:r>
            <w:r w:rsidRPr="008046DF">
              <w:rPr>
                <w:i w:val="0"/>
                <w:sz w:val="20"/>
                <w:lang w:val="it-IT"/>
              </w:rPr>
              <w:t xml:space="preserve"> di Roma</w:t>
            </w:r>
          </w:p>
        </w:tc>
      </w:tr>
      <w:tr w:rsidR="006C6E2F" w:rsidRPr="008046DF" w:rsidTr="001A20A0">
        <w:tc>
          <w:tcPr>
            <w:tcW w:w="2943" w:type="dxa"/>
            <w:tcBorders>
              <w:top w:val="nil"/>
              <w:left w:val="nil"/>
              <w:bottom w:val="nil"/>
              <w:right w:val="nil"/>
            </w:tcBorders>
          </w:tcPr>
          <w:p w:rsidR="006C6E2F" w:rsidRPr="008046DF" w:rsidRDefault="006C6E2F" w:rsidP="001A20A0">
            <w:pPr>
              <w:pStyle w:val="OiaeaeiYiio2"/>
              <w:widowControl/>
              <w:rPr>
                <w:i w:val="0"/>
                <w:sz w:val="20"/>
                <w:lang w:val="it-IT"/>
              </w:rPr>
            </w:pPr>
          </w:p>
        </w:tc>
        <w:tc>
          <w:tcPr>
            <w:tcW w:w="284" w:type="dxa"/>
            <w:tcBorders>
              <w:top w:val="nil"/>
              <w:left w:val="nil"/>
              <w:bottom w:val="nil"/>
              <w:right w:val="nil"/>
            </w:tcBorders>
          </w:tcPr>
          <w:p w:rsidR="006C6E2F" w:rsidRPr="008046DF" w:rsidRDefault="006C6E2F" w:rsidP="001A20A0">
            <w:pPr>
              <w:pStyle w:val="Aaoeeu"/>
              <w:widowControl/>
              <w:rPr>
                <w:lang w:val="it-IT"/>
              </w:rPr>
            </w:pPr>
          </w:p>
        </w:tc>
        <w:tc>
          <w:tcPr>
            <w:tcW w:w="7229" w:type="dxa"/>
            <w:tcBorders>
              <w:top w:val="nil"/>
              <w:left w:val="nil"/>
              <w:bottom w:val="nil"/>
              <w:right w:val="nil"/>
            </w:tcBorders>
          </w:tcPr>
          <w:p w:rsidR="00550611" w:rsidRPr="008046DF" w:rsidRDefault="00550611" w:rsidP="001A20A0">
            <w:pPr>
              <w:pStyle w:val="OiaeaeiYiio2"/>
              <w:jc w:val="left"/>
              <w:rPr>
                <w:i w:val="0"/>
                <w:sz w:val="20"/>
                <w:lang w:val="it-IT"/>
              </w:rPr>
            </w:pPr>
          </w:p>
        </w:tc>
      </w:tr>
      <w:tr w:rsidR="006C6E2F" w:rsidRPr="007A684B" w:rsidTr="001A20A0">
        <w:tc>
          <w:tcPr>
            <w:tcW w:w="2943" w:type="dxa"/>
            <w:tcBorders>
              <w:top w:val="nil"/>
              <w:left w:val="nil"/>
              <w:bottom w:val="nil"/>
              <w:right w:val="nil"/>
            </w:tcBorders>
          </w:tcPr>
          <w:p w:rsidR="00596ECA" w:rsidRPr="00EB1018" w:rsidRDefault="00596ECA" w:rsidP="001A20A0">
            <w:pPr>
              <w:pStyle w:val="OiaeaeiYiio2"/>
              <w:widowControl/>
              <w:jc w:val="left"/>
              <w:rPr>
                <w:i w:val="0"/>
                <w:sz w:val="20"/>
                <w:lang w:val="it-IT"/>
              </w:rPr>
            </w:pPr>
          </w:p>
        </w:tc>
        <w:tc>
          <w:tcPr>
            <w:tcW w:w="284" w:type="dxa"/>
            <w:tcBorders>
              <w:top w:val="nil"/>
              <w:left w:val="nil"/>
              <w:bottom w:val="nil"/>
              <w:right w:val="nil"/>
            </w:tcBorders>
          </w:tcPr>
          <w:p w:rsidR="006C6E2F" w:rsidRPr="00EB1018" w:rsidRDefault="006C6E2F" w:rsidP="001A20A0">
            <w:pPr>
              <w:pStyle w:val="Aaoeeu"/>
              <w:widowControl/>
              <w:rPr>
                <w:lang w:val="it-IT"/>
              </w:rPr>
            </w:pPr>
          </w:p>
        </w:tc>
        <w:tc>
          <w:tcPr>
            <w:tcW w:w="7229" w:type="dxa"/>
            <w:tcBorders>
              <w:top w:val="nil"/>
              <w:left w:val="nil"/>
              <w:bottom w:val="nil"/>
              <w:right w:val="nil"/>
            </w:tcBorders>
          </w:tcPr>
          <w:p w:rsidR="00A214ED" w:rsidRDefault="00A65BC5" w:rsidP="001A20A0">
            <w:pPr>
              <w:rPr>
                <w:i/>
              </w:rPr>
            </w:pPr>
            <w:proofErr w:type="gramStart"/>
            <w:r>
              <w:t xml:space="preserve">Docente  </w:t>
            </w:r>
            <w:r w:rsidR="00851CE9">
              <w:t>al</w:t>
            </w:r>
            <w:proofErr w:type="gramEnd"/>
            <w:r w:rsidR="00851CE9">
              <w:t xml:space="preserve"> </w:t>
            </w:r>
            <w:r w:rsidR="00851CE9" w:rsidRPr="00FD7F5E">
              <w:t xml:space="preserve">Corso di Laurea di Medicina e Chirurgia </w:t>
            </w:r>
            <w:r w:rsidR="00851CE9">
              <w:t xml:space="preserve">presso l’Università Cattolica del Sacro Cuore di Roma, e, presso la stessa Università, Docente alle Scuole di Specializzazione in Gastroenterologia, Medicina Interna, Medicina di Emergenza-Urgenza, </w:t>
            </w:r>
            <w:r w:rsidR="00FD7F5E">
              <w:t xml:space="preserve">Microbiologia e </w:t>
            </w:r>
            <w:r w:rsidR="00FD7F5E" w:rsidRPr="00851CE9">
              <w:t>Virologia</w:t>
            </w:r>
            <w:r w:rsidR="00851CE9" w:rsidRPr="00851CE9">
              <w:t xml:space="preserve">, e ai </w:t>
            </w:r>
            <w:r w:rsidR="000C313E" w:rsidRPr="00851CE9">
              <w:t>C</w:t>
            </w:r>
            <w:r w:rsidR="00A214ED" w:rsidRPr="00851CE9">
              <w:t>ors</w:t>
            </w:r>
            <w:r w:rsidR="00851CE9" w:rsidRPr="00851CE9">
              <w:t xml:space="preserve">i </w:t>
            </w:r>
            <w:r w:rsidR="00A214ED" w:rsidRPr="00851CE9">
              <w:t>di Dottorato in “Endoscopia digestiva sperimentale”</w:t>
            </w:r>
            <w:r w:rsidR="00851CE9" w:rsidRPr="00851CE9">
              <w:t xml:space="preserve"> e in </w:t>
            </w:r>
            <w:r w:rsidR="00A214ED" w:rsidRPr="00851CE9">
              <w:t>“Scienze della nutrizione, del metabolismo, dell’invecchiamento e delle patologie di genere</w:t>
            </w:r>
            <w:r w:rsidR="00851CE9" w:rsidRPr="00851CE9">
              <w:t>”</w:t>
            </w:r>
          </w:p>
          <w:p w:rsidR="00307030" w:rsidRPr="00CA3D15" w:rsidRDefault="00307030" w:rsidP="001A20A0">
            <w:pPr>
              <w:pStyle w:val="OiaeaeiYiio2"/>
              <w:widowControl/>
              <w:jc w:val="left"/>
              <w:rPr>
                <w:i w:val="0"/>
                <w:sz w:val="20"/>
                <w:lang w:val="it-IT"/>
              </w:rPr>
            </w:pPr>
          </w:p>
          <w:p w:rsidR="00A94227" w:rsidRPr="00CA3D15" w:rsidRDefault="00A94227" w:rsidP="001A20A0">
            <w:pPr>
              <w:pStyle w:val="OiaeaeiYiio2"/>
              <w:widowControl/>
              <w:jc w:val="left"/>
              <w:rPr>
                <w:i w:val="0"/>
                <w:sz w:val="20"/>
                <w:lang w:val="it-IT"/>
              </w:rPr>
            </w:pPr>
          </w:p>
          <w:p w:rsidR="00EB1018" w:rsidRDefault="00EB1018" w:rsidP="001A20A0">
            <w:pPr>
              <w:tabs>
                <w:tab w:val="left" w:pos="426"/>
              </w:tabs>
              <w:ind w:right="333"/>
            </w:pPr>
          </w:p>
          <w:p w:rsidR="00851CE9" w:rsidRDefault="00DB2528" w:rsidP="001A20A0">
            <w:pPr>
              <w:tabs>
                <w:tab w:val="left" w:pos="426"/>
              </w:tabs>
              <w:ind w:right="333"/>
            </w:pPr>
            <w:r w:rsidRPr="00DB2528">
              <w:t xml:space="preserve">Ha svolto ricerche in tema di fisiopatologia e clinica di patologie gastroenterologiche, inserite nel più ampio contesto della </w:t>
            </w:r>
            <w:r>
              <w:t xml:space="preserve">medicina interna. </w:t>
            </w:r>
            <w:r w:rsidRPr="00DB2528">
              <w:t xml:space="preserve">Tali ricerche sono state oggetto di pubblicazioni e comunicazioni scientifiche in campo internazionale e nazionale, </w:t>
            </w:r>
            <w:r w:rsidR="00000624" w:rsidRPr="00DB2528">
              <w:t>oltreché</w:t>
            </w:r>
            <w:r w:rsidRPr="00DB2528">
              <w:t xml:space="preserve"> motivo di collaborazione sul piano scientifico con importanti gruppi di ricerca nazionali ed internazionali, </w:t>
            </w:r>
            <w:r w:rsidR="00000624">
              <w:t xml:space="preserve">e </w:t>
            </w:r>
            <w:r w:rsidRPr="00DB2528">
              <w:t xml:space="preserve">di varie discipline </w:t>
            </w:r>
            <w:r w:rsidRPr="00652CF2">
              <w:t xml:space="preserve">specialistiche. In particolare, </w:t>
            </w:r>
            <w:r w:rsidR="000C313E">
              <w:t xml:space="preserve">ha sviluppato </w:t>
            </w:r>
            <w:r w:rsidRPr="00652CF2">
              <w:t xml:space="preserve">ricerche in tema di </w:t>
            </w:r>
            <w:r w:rsidRPr="00652CF2">
              <w:rPr>
                <w:i/>
              </w:rPr>
              <w:t>Helicobacter pylori</w:t>
            </w:r>
            <w:r w:rsidRPr="00652CF2">
              <w:t>,</w:t>
            </w:r>
            <w:r w:rsidR="000C313E">
              <w:t xml:space="preserve"> infezioni croniche e rischio cardiovascolare, </w:t>
            </w:r>
            <w:r w:rsidRPr="00652CF2">
              <w:t>linfoma prim</w:t>
            </w:r>
            <w:r w:rsidR="00652CF2">
              <w:t>i</w:t>
            </w:r>
            <w:r w:rsidRPr="00652CF2">
              <w:t>tivo gastrico, celiac</w:t>
            </w:r>
            <w:r w:rsidR="000C313E">
              <w:t>hia</w:t>
            </w:r>
            <w:r w:rsidRPr="00652CF2">
              <w:t xml:space="preserve">, reflusso gastroesofageo, malattie infiammatorie croniche intestinali, endoscopia digestiva, </w:t>
            </w:r>
            <w:r w:rsidR="00652CF2" w:rsidRPr="00652CF2">
              <w:t xml:space="preserve">microbiota gastrointestinale, trapianto di microbiota intestinale, </w:t>
            </w:r>
            <w:r w:rsidR="00652CF2" w:rsidRPr="00652CF2">
              <w:rPr>
                <w:i/>
              </w:rPr>
              <w:t>Clostridium difficile</w:t>
            </w:r>
            <w:r w:rsidR="00652CF2" w:rsidRPr="00652CF2">
              <w:t xml:space="preserve">. </w:t>
            </w:r>
          </w:p>
          <w:p w:rsidR="00851CE9" w:rsidRDefault="00B141A4" w:rsidP="001A20A0">
            <w:pPr>
              <w:tabs>
                <w:tab w:val="left" w:pos="426"/>
              </w:tabs>
              <w:ind w:right="333"/>
              <w:rPr>
                <w:bCs/>
              </w:rPr>
            </w:pPr>
            <w:r>
              <w:t>R</w:t>
            </w:r>
            <w:r w:rsidR="00652CF2" w:rsidRPr="00652CF2">
              <w:t>elatore su invito a decine di congressi scientifici nazionali ed internazionali</w:t>
            </w:r>
            <w:r w:rsidR="000C313E">
              <w:t xml:space="preserve">; </w:t>
            </w:r>
            <w:r w:rsidR="00652CF2" w:rsidRPr="00652CF2">
              <w:rPr>
                <w:bCs/>
              </w:rPr>
              <w:t>docente</w:t>
            </w:r>
            <w:r w:rsidR="000C313E">
              <w:rPr>
                <w:bCs/>
              </w:rPr>
              <w:t xml:space="preserve">, </w:t>
            </w:r>
            <w:r w:rsidR="00652CF2" w:rsidRPr="00652CF2">
              <w:rPr>
                <w:bCs/>
                <w:i/>
              </w:rPr>
              <w:t>faculty member</w:t>
            </w:r>
            <w:r w:rsidR="00652CF2" w:rsidRPr="00652CF2">
              <w:rPr>
                <w:bCs/>
              </w:rPr>
              <w:t xml:space="preserve"> </w:t>
            </w:r>
            <w:r w:rsidR="000C313E">
              <w:rPr>
                <w:bCs/>
              </w:rPr>
              <w:t>e direttore d</w:t>
            </w:r>
            <w:r w:rsidR="00652CF2" w:rsidRPr="00652CF2">
              <w:rPr>
                <w:bCs/>
              </w:rPr>
              <w:t>i corsi di aggiornamento</w:t>
            </w:r>
            <w:r w:rsidR="00851CE9">
              <w:rPr>
                <w:bCs/>
              </w:rPr>
              <w:t>.</w:t>
            </w:r>
          </w:p>
          <w:p w:rsidR="00DB2528" w:rsidRPr="00652CF2" w:rsidRDefault="00851CE9" w:rsidP="001A20A0">
            <w:pPr>
              <w:tabs>
                <w:tab w:val="left" w:pos="426"/>
              </w:tabs>
              <w:ind w:right="333"/>
            </w:pPr>
            <w:r w:rsidRPr="00851CE9">
              <w:rPr>
                <w:bCs/>
                <w:i/>
              </w:rPr>
              <w:lastRenderedPageBreak/>
              <w:t>A</w:t>
            </w:r>
            <w:r w:rsidR="00652CF2" w:rsidRPr="00652CF2">
              <w:rPr>
                <w:bCs/>
                <w:i/>
              </w:rPr>
              <w:t>d hoc reviewer</w:t>
            </w:r>
            <w:r w:rsidR="00652CF2" w:rsidRPr="00652CF2">
              <w:rPr>
                <w:bCs/>
              </w:rPr>
              <w:t xml:space="preserve"> di numerose e prestigiose riviste scientifiche</w:t>
            </w:r>
            <w:r w:rsidR="00A03533">
              <w:rPr>
                <w:bCs/>
              </w:rPr>
              <w:t xml:space="preserve"> (JAMA, Lancet, Gastroenterology, </w:t>
            </w:r>
            <w:r w:rsidR="00335769">
              <w:rPr>
                <w:bCs/>
              </w:rPr>
              <w:t>Am</w:t>
            </w:r>
            <w:r w:rsidR="0054135E">
              <w:rPr>
                <w:bCs/>
              </w:rPr>
              <w:t xml:space="preserve">erican Journal of </w:t>
            </w:r>
            <w:r w:rsidR="00335769">
              <w:rPr>
                <w:bCs/>
              </w:rPr>
              <w:t>Gas</w:t>
            </w:r>
            <w:r w:rsidR="0054135E">
              <w:rPr>
                <w:bCs/>
              </w:rPr>
              <w:t>t</w:t>
            </w:r>
            <w:r w:rsidR="00335769">
              <w:rPr>
                <w:bCs/>
              </w:rPr>
              <w:t xml:space="preserve">roenterology, Endoscopy, Gastrointestinal Endoscopy, </w:t>
            </w:r>
            <w:r w:rsidR="0054135E">
              <w:rPr>
                <w:bCs/>
              </w:rPr>
              <w:t xml:space="preserve">AP&amp;T, </w:t>
            </w:r>
            <w:r w:rsidR="00A03533">
              <w:rPr>
                <w:bCs/>
              </w:rPr>
              <w:t xml:space="preserve">etc) </w:t>
            </w:r>
            <w:r w:rsidR="00231598">
              <w:rPr>
                <w:bCs/>
              </w:rPr>
              <w:t>e di progetti di finanziamento internazionali.</w:t>
            </w:r>
          </w:p>
          <w:p w:rsidR="00307030" w:rsidRDefault="00307030" w:rsidP="001A20A0">
            <w:pPr>
              <w:tabs>
                <w:tab w:val="left" w:pos="426"/>
              </w:tabs>
              <w:ind w:right="333"/>
              <w:rPr>
                <w:i/>
              </w:rPr>
            </w:pPr>
          </w:p>
          <w:p w:rsidR="00FA1038" w:rsidRDefault="00FA1038" w:rsidP="001A20A0">
            <w:pPr>
              <w:tabs>
                <w:tab w:val="left" w:pos="426"/>
              </w:tabs>
              <w:ind w:right="333"/>
              <w:rPr>
                <w:lang w:val="en-US"/>
              </w:rPr>
            </w:pPr>
          </w:p>
          <w:p w:rsidR="006766A3" w:rsidRPr="008B2CBC" w:rsidRDefault="006766A3" w:rsidP="001A20A0">
            <w:pPr>
              <w:tabs>
                <w:tab w:val="left" w:pos="426"/>
              </w:tabs>
              <w:ind w:right="333"/>
              <w:rPr>
                <w:lang w:val="en-US"/>
              </w:rPr>
            </w:pPr>
          </w:p>
        </w:tc>
      </w:tr>
    </w:tbl>
    <w:p w:rsidR="00851CE9" w:rsidRDefault="001A20A0" w:rsidP="00596ECA">
      <w:pPr>
        <w:widowControl/>
        <w:tabs>
          <w:tab w:val="left" w:pos="709"/>
        </w:tabs>
        <w:ind w:left="567" w:right="-380" w:hanging="425"/>
        <w:rPr>
          <w:b/>
          <w:sz w:val="24"/>
          <w:szCs w:val="24"/>
          <w:u w:val="single"/>
        </w:rPr>
      </w:pPr>
      <w:r>
        <w:rPr>
          <w:b/>
          <w:sz w:val="24"/>
          <w:szCs w:val="24"/>
          <w:u w:val="single"/>
        </w:rPr>
        <w:lastRenderedPageBreak/>
        <w:br w:type="textWrapping" w:clear="all"/>
      </w:r>
      <w:bookmarkStart w:id="0" w:name="_GoBack"/>
      <w:bookmarkEnd w:id="0"/>
      <w:r>
        <w:rPr>
          <w:b/>
          <w:sz w:val="24"/>
          <w:szCs w:val="24"/>
          <w:u w:val="single"/>
        </w:rPr>
        <w:t xml:space="preserve">ELENCO DI ALCUNE DELLE </w:t>
      </w:r>
      <w:r w:rsidR="00851CE9">
        <w:rPr>
          <w:b/>
          <w:sz w:val="24"/>
          <w:szCs w:val="24"/>
          <w:u w:val="single"/>
        </w:rPr>
        <w:t>PRINCIPALI PUBBLICAZIONI SCIENTIFICHE</w:t>
      </w:r>
    </w:p>
    <w:p w:rsidR="00596ECA" w:rsidRPr="00596ECA" w:rsidRDefault="00596ECA" w:rsidP="00596ECA">
      <w:pPr>
        <w:widowControl/>
        <w:tabs>
          <w:tab w:val="left" w:pos="709"/>
        </w:tabs>
        <w:ind w:left="567" w:right="-380" w:hanging="425"/>
        <w:rPr>
          <w:b/>
        </w:rPr>
      </w:pPr>
    </w:p>
    <w:p w:rsidR="00596ECA" w:rsidRPr="002F0DD6" w:rsidRDefault="00596ECA" w:rsidP="001A20A0">
      <w:pPr>
        <w:widowControl/>
        <w:tabs>
          <w:tab w:val="left" w:pos="709"/>
        </w:tabs>
        <w:ind w:left="142" w:right="-380"/>
        <w:rPr>
          <w:lang w:val="en-US"/>
        </w:rPr>
      </w:pPr>
      <w:r w:rsidRPr="00596ECA">
        <w:rPr>
          <w:b/>
          <w:lang w:val="en-US"/>
        </w:rPr>
        <w:t>Cammarota G</w:t>
      </w:r>
      <w:r w:rsidRPr="00596ECA">
        <w:rPr>
          <w:lang w:val="en-US"/>
        </w:rPr>
        <w:t xml:space="preserve">, Montalto M, Tursi A, Vecchio FM, Fedeli G, Gasbarrini G. Helicobacter pylori reinfection and rapid relapse of low-grade B-cell gastric lymphoma. </w:t>
      </w:r>
      <w:r w:rsidRPr="002F0DD6">
        <w:rPr>
          <w:lang w:val="en-US"/>
        </w:rPr>
        <w:t>LANCET 1995</w:t>
      </w:r>
      <w:proofErr w:type="gramStart"/>
      <w:r w:rsidRPr="002F0DD6">
        <w:rPr>
          <w:lang w:val="en-US"/>
        </w:rPr>
        <w:t>;345</w:t>
      </w:r>
      <w:proofErr w:type="gramEnd"/>
      <w:r w:rsidRPr="002F0DD6">
        <w:rPr>
          <w:lang w:val="en-US"/>
        </w:rPr>
        <w:t xml:space="preserve">(8943):192.   </w:t>
      </w:r>
    </w:p>
    <w:p w:rsidR="00596ECA" w:rsidRPr="002F0DD6" w:rsidRDefault="00596ECA" w:rsidP="001A20A0">
      <w:pPr>
        <w:tabs>
          <w:tab w:val="left" w:pos="709"/>
        </w:tabs>
        <w:ind w:left="142" w:right="-380"/>
        <w:rPr>
          <w:lang w:val="en-US"/>
        </w:rPr>
      </w:pPr>
    </w:p>
    <w:p w:rsidR="00596ECA" w:rsidRPr="00596ECA" w:rsidRDefault="00596ECA" w:rsidP="001A20A0">
      <w:pPr>
        <w:widowControl/>
        <w:tabs>
          <w:tab w:val="left" w:pos="709"/>
        </w:tabs>
        <w:ind w:left="142" w:right="-380"/>
      </w:pPr>
      <w:r w:rsidRPr="00596ECA">
        <w:rPr>
          <w:b/>
        </w:rPr>
        <w:t>Cammarota G</w:t>
      </w:r>
      <w:r w:rsidRPr="00596ECA">
        <w:t>, Tursi A, Montalto M, Papa A, Branca G, Vecchio FM, Renzi V, Verzì A, Armuzzi A, Pretolani S, Fedeli G, Gasbarrini G. Prevention and treatment of low-grade B-cell primary gastric lymphoma by anti-H.pylori therapy</w:t>
      </w:r>
      <w:r w:rsidRPr="00596ECA">
        <w:rPr>
          <w:b/>
        </w:rPr>
        <w:t xml:space="preserve">. </w:t>
      </w:r>
      <w:r w:rsidRPr="00596ECA">
        <w:t>THE JOURNAL OF CLINICAL GASTROENTEROLOGY 1995; 21(2):118-122.</w:t>
      </w:r>
    </w:p>
    <w:p w:rsidR="00596ECA" w:rsidRPr="00596ECA" w:rsidRDefault="00596ECA" w:rsidP="001A20A0">
      <w:pPr>
        <w:tabs>
          <w:tab w:val="left" w:pos="709"/>
        </w:tabs>
        <w:ind w:left="142" w:right="-380"/>
      </w:pPr>
    </w:p>
    <w:p w:rsidR="00596ECA" w:rsidRPr="00596ECA" w:rsidRDefault="00596ECA" w:rsidP="001A20A0">
      <w:pPr>
        <w:widowControl/>
        <w:tabs>
          <w:tab w:val="left" w:pos="709"/>
        </w:tabs>
        <w:ind w:left="142" w:right="-380"/>
      </w:pPr>
      <w:r w:rsidRPr="00596ECA">
        <w:rPr>
          <w:b/>
        </w:rPr>
        <w:t>Cammarota G</w:t>
      </w:r>
      <w:r w:rsidRPr="00596ECA">
        <w:t>, Fedeli G, Tursi A, Corazza GR, Gasbarrini G. Coeliac disease and follicular gastritis. LANCET 1</w:t>
      </w:r>
      <w:r>
        <w:t>996;347(8996):268.</w:t>
      </w:r>
    </w:p>
    <w:p w:rsidR="00596ECA" w:rsidRPr="00596ECA" w:rsidRDefault="00596ECA" w:rsidP="001A20A0">
      <w:pPr>
        <w:tabs>
          <w:tab w:val="left" w:pos="709"/>
        </w:tabs>
        <w:ind w:left="142" w:right="-380"/>
      </w:pPr>
    </w:p>
    <w:p w:rsidR="00596ECA" w:rsidRPr="00596ECA" w:rsidRDefault="00596ECA" w:rsidP="001A20A0">
      <w:pPr>
        <w:widowControl/>
        <w:tabs>
          <w:tab w:val="left" w:pos="709"/>
        </w:tabs>
        <w:ind w:left="142" w:right="-380"/>
      </w:pPr>
      <w:r w:rsidRPr="00596ECA">
        <w:rPr>
          <w:b/>
        </w:rPr>
        <w:t>Cammarota G</w:t>
      </w:r>
      <w:r w:rsidRPr="00596ECA">
        <w:t>, Tursi A, Montalto M, Papa A, Veneto G, Bernardi S, Boari A, Colizzi V, Fedeli G, Gasbarrini G. Role of dental plaque in the transmission of Helicobacter pylori infection. THE JOURNAL OF CLINICAL GASTROENTEROLOGY 1</w:t>
      </w:r>
      <w:r w:rsidR="008F59CF">
        <w:t>996; 22(3):174-177.</w:t>
      </w:r>
    </w:p>
    <w:p w:rsidR="00596ECA" w:rsidRPr="00596ECA" w:rsidRDefault="00596ECA" w:rsidP="001A20A0">
      <w:pPr>
        <w:pStyle w:val="Paragrafoelenco"/>
        <w:tabs>
          <w:tab w:val="left" w:pos="709"/>
        </w:tabs>
        <w:ind w:left="142" w:right="-380"/>
      </w:pPr>
    </w:p>
    <w:p w:rsidR="00596ECA" w:rsidRPr="00596ECA" w:rsidRDefault="00596ECA" w:rsidP="001A20A0">
      <w:pPr>
        <w:widowControl/>
        <w:tabs>
          <w:tab w:val="left" w:pos="709"/>
        </w:tabs>
        <w:ind w:left="142" w:right="-380"/>
      </w:pPr>
      <w:r w:rsidRPr="002F0DD6">
        <w:rPr>
          <w:b/>
        </w:rPr>
        <w:t>Cammarota G</w:t>
      </w:r>
      <w:r w:rsidRPr="002F0DD6">
        <w:t xml:space="preserve">, Tursi A, Papa A, Montalto M, Veneto G, Cuoco L, Fedeli G, Gasbarrini G. Helicobacter pylori eradication using one-week low-dose lansoprazole plus amoxycillin and either clarithromycin or azithromycin. </w:t>
      </w:r>
      <w:r w:rsidRPr="00596ECA">
        <w:t xml:space="preserve">ALIMENTARY PHARMACOLOGY &amp; THERAPEUTICS 1996;10(6):997-1000. </w:t>
      </w:r>
    </w:p>
    <w:p w:rsidR="00596ECA" w:rsidRPr="00596ECA" w:rsidRDefault="00596ECA" w:rsidP="001A20A0">
      <w:pPr>
        <w:tabs>
          <w:tab w:val="left" w:pos="709"/>
        </w:tabs>
        <w:ind w:left="142" w:right="-380"/>
        <w:rPr>
          <w:b/>
        </w:rPr>
      </w:pPr>
    </w:p>
    <w:p w:rsidR="008F59CF" w:rsidRPr="002F0DD6" w:rsidRDefault="00596ECA" w:rsidP="001A20A0">
      <w:pPr>
        <w:widowControl/>
        <w:tabs>
          <w:tab w:val="left" w:pos="709"/>
        </w:tabs>
        <w:ind w:left="142" w:right="-380"/>
        <w:rPr>
          <w:b/>
          <w:lang w:val="en-US"/>
        </w:rPr>
      </w:pPr>
      <w:r w:rsidRPr="008F59CF">
        <w:rPr>
          <w:b/>
          <w:lang w:val="en-US"/>
        </w:rPr>
        <w:t>Cammarota G</w:t>
      </w:r>
      <w:r w:rsidRPr="008F59CF">
        <w:rPr>
          <w:lang w:val="en-US"/>
        </w:rPr>
        <w:t xml:space="preserve">, Tursi A, Papa A, Fedeli G, Gasbarrini G. Sensitivity testing for Helicobacter pylori should be more widely available. </w:t>
      </w:r>
      <w:r w:rsidRPr="002F0DD6">
        <w:rPr>
          <w:lang w:val="en-US"/>
        </w:rPr>
        <w:t>BRITISH MEDICAL JOURNAL 1996</w:t>
      </w:r>
      <w:proofErr w:type="gramStart"/>
      <w:r w:rsidRPr="002F0DD6">
        <w:rPr>
          <w:lang w:val="en-US"/>
        </w:rPr>
        <w:t>;313:1079</w:t>
      </w:r>
      <w:proofErr w:type="gramEnd"/>
      <w:r w:rsidRPr="002F0DD6">
        <w:rPr>
          <w:lang w:val="en-US"/>
        </w:rPr>
        <w:t xml:space="preserve">-1080. </w:t>
      </w:r>
    </w:p>
    <w:p w:rsidR="002F0DD6" w:rsidRDefault="002F0DD6" w:rsidP="001A20A0">
      <w:pPr>
        <w:pStyle w:val="Paragrafoelenco"/>
        <w:rPr>
          <w:b/>
          <w:lang w:val="en-US"/>
        </w:rPr>
      </w:pPr>
    </w:p>
    <w:p w:rsidR="00596ECA" w:rsidRPr="008F59CF" w:rsidRDefault="00596ECA" w:rsidP="001A20A0">
      <w:pPr>
        <w:widowControl/>
        <w:tabs>
          <w:tab w:val="left" w:pos="709"/>
        </w:tabs>
        <w:ind w:left="142" w:right="-380"/>
        <w:rPr>
          <w:lang w:val="en-US"/>
        </w:rPr>
      </w:pPr>
      <w:r w:rsidRPr="00596ECA">
        <w:rPr>
          <w:b/>
          <w:lang w:val="en-US"/>
        </w:rPr>
        <w:t>Cammarota G</w:t>
      </w:r>
      <w:r w:rsidRPr="00596ECA">
        <w:rPr>
          <w:lang w:val="en-US"/>
        </w:rPr>
        <w:t xml:space="preserve">, Tursi A, Papa A, MT.Voso, F.Serra, Fedeli G, Gasbarrini G. The growth of primary low-grade B-cell gastric lymphoma </w:t>
      </w:r>
      <w:proofErr w:type="gramStart"/>
      <w:r w:rsidRPr="00596ECA">
        <w:rPr>
          <w:lang w:val="en-US"/>
        </w:rPr>
        <w:t>is sustained</w:t>
      </w:r>
      <w:proofErr w:type="gramEnd"/>
      <w:r w:rsidRPr="00596ECA">
        <w:rPr>
          <w:lang w:val="en-US"/>
        </w:rPr>
        <w:t xml:space="preserve"> by Helicobacter pylori. </w:t>
      </w:r>
      <w:r w:rsidRPr="008F59CF">
        <w:rPr>
          <w:lang w:val="en-US"/>
        </w:rPr>
        <w:t>SCANDINAVIAN JOURNAL OF GASTROENTEROLOGY 1997</w:t>
      </w:r>
      <w:proofErr w:type="gramStart"/>
      <w:r w:rsidRPr="008F59CF">
        <w:rPr>
          <w:lang w:val="en-US"/>
        </w:rPr>
        <w:t>;32</w:t>
      </w:r>
      <w:proofErr w:type="gramEnd"/>
      <w:r w:rsidRPr="008F59CF">
        <w:rPr>
          <w:lang w:val="en-US"/>
        </w:rPr>
        <w:t xml:space="preserve">(3):285-287. </w:t>
      </w:r>
    </w:p>
    <w:p w:rsidR="00596ECA" w:rsidRPr="008F59CF" w:rsidRDefault="00596ECA" w:rsidP="001A20A0">
      <w:pPr>
        <w:tabs>
          <w:tab w:val="left" w:pos="709"/>
        </w:tabs>
        <w:ind w:left="142" w:right="-380"/>
        <w:rPr>
          <w:b/>
          <w:lang w:val="en-US"/>
        </w:rPr>
      </w:pPr>
    </w:p>
    <w:p w:rsidR="00596ECA" w:rsidRPr="008F59CF" w:rsidRDefault="00596ECA" w:rsidP="001A20A0">
      <w:pPr>
        <w:widowControl/>
        <w:tabs>
          <w:tab w:val="left" w:pos="709"/>
        </w:tabs>
        <w:ind w:left="142" w:right="-380"/>
        <w:rPr>
          <w:b/>
          <w:lang w:val="en-US"/>
        </w:rPr>
      </w:pPr>
      <w:r w:rsidRPr="008F59CF">
        <w:rPr>
          <w:b/>
          <w:lang w:val="en-US"/>
        </w:rPr>
        <w:t>Cammarota G</w:t>
      </w:r>
      <w:r w:rsidRPr="008F59CF">
        <w:rPr>
          <w:lang w:val="en-US"/>
        </w:rPr>
        <w:t>, Tursi A, De Marinis L, Papa A, Valle D, Cuoco L, Cianci R, Fedeli G, Gasbarrini G. Gastric mucosa-associated lymphoid tissue in autoimmune thyroid diseases. SCANDINAVIAN JOURNAL OF GASTROENTEROLOGY 1997</w:t>
      </w:r>
      <w:proofErr w:type="gramStart"/>
      <w:r w:rsidRPr="008F59CF">
        <w:rPr>
          <w:lang w:val="en-US"/>
        </w:rPr>
        <w:t>;32</w:t>
      </w:r>
      <w:proofErr w:type="gramEnd"/>
      <w:r w:rsidRPr="008F59CF">
        <w:rPr>
          <w:lang w:val="en-US"/>
        </w:rPr>
        <w:t xml:space="preserve">(9):869-872. </w:t>
      </w:r>
    </w:p>
    <w:p w:rsidR="008F59CF" w:rsidRPr="008F59CF" w:rsidRDefault="008F59CF" w:rsidP="001A20A0">
      <w:pPr>
        <w:widowControl/>
        <w:tabs>
          <w:tab w:val="left" w:pos="709"/>
        </w:tabs>
        <w:ind w:left="142" w:right="-380"/>
        <w:rPr>
          <w:b/>
          <w:lang w:val="en-US"/>
        </w:rPr>
      </w:pPr>
    </w:p>
    <w:p w:rsidR="00596ECA" w:rsidRPr="008F59CF" w:rsidRDefault="00596ECA" w:rsidP="001A20A0">
      <w:pPr>
        <w:widowControl/>
        <w:tabs>
          <w:tab w:val="left" w:pos="709"/>
        </w:tabs>
        <w:ind w:left="142" w:right="-380"/>
        <w:rPr>
          <w:lang w:val="en-US"/>
        </w:rPr>
      </w:pPr>
      <w:r w:rsidRPr="008F59CF">
        <w:rPr>
          <w:b/>
          <w:lang w:val="en-US"/>
        </w:rPr>
        <w:t>Cammarota G</w:t>
      </w:r>
      <w:r w:rsidRPr="008F59CF">
        <w:rPr>
          <w:lang w:val="en-US"/>
        </w:rPr>
        <w:t>, Papa A, Tursi A, Cuoco L, Fedeli G, Gasbarrini G. Pathogenesis of MALT lymphoma: an antigen-dependent process. GASTROENTEROLOGY 1997</w:t>
      </w:r>
      <w:proofErr w:type="gramStart"/>
      <w:r w:rsidRPr="008F59CF">
        <w:rPr>
          <w:lang w:val="en-US"/>
        </w:rPr>
        <w:t>;113</w:t>
      </w:r>
      <w:proofErr w:type="gramEnd"/>
      <w:r w:rsidRPr="008F59CF">
        <w:rPr>
          <w:lang w:val="en-US"/>
        </w:rPr>
        <w:t xml:space="preserve">(5):1810. </w:t>
      </w:r>
    </w:p>
    <w:p w:rsidR="00596ECA" w:rsidRPr="008F59CF" w:rsidRDefault="00596ECA" w:rsidP="001A20A0">
      <w:pPr>
        <w:tabs>
          <w:tab w:val="left" w:pos="709"/>
        </w:tabs>
        <w:ind w:left="142" w:right="-380"/>
        <w:rPr>
          <w:b/>
          <w:lang w:val="en-US"/>
        </w:rPr>
      </w:pPr>
    </w:p>
    <w:p w:rsidR="00596ECA" w:rsidRPr="002F0DD6" w:rsidRDefault="00596ECA" w:rsidP="001A20A0">
      <w:pPr>
        <w:widowControl/>
        <w:tabs>
          <w:tab w:val="left" w:pos="709"/>
        </w:tabs>
        <w:ind w:left="142" w:right="-380"/>
        <w:rPr>
          <w:lang w:val="en-US"/>
        </w:rPr>
      </w:pPr>
      <w:r w:rsidRPr="002F0DD6">
        <w:rPr>
          <w:b/>
          <w:lang w:val="en-US"/>
        </w:rPr>
        <w:t>Cammarota G</w:t>
      </w:r>
      <w:r w:rsidRPr="002F0DD6">
        <w:rPr>
          <w:lang w:val="en-US"/>
        </w:rPr>
        <w:t xml:space="preserve">, Tursi A, Cannizzaro O, Papa A, Cuoco L, Cianci R, Fedeli P, Fedeli G, Gasbarrini G. Regression of a primary gastric MALT-lymphoma with extensive antrum lesions by H.pylori eradication. </w:t>
      </w:r>
      <w:r w:rsidRPr="00596ECA">
        <w:rPr>
          <w:lang w:val="en-US"/>
        </w:rPr>
        <w:t>ITALIAN JOURNAL OF GASTROENTEROLOGY &amp; HEPATOLO</w:t>
      </w:r>
      <w:r w:rsidR="008F59CF">
        <w:rPr>
          <w:lang w:val="en-US"/>
        </w:rPr>
        <w:t>GY 1997</w:t>
      </w:r>
      <w:proofErr w:type="gramStart"/>
      <w:r w:rsidR="008F59CF">
        <w:rPr>
          <w:lang w:val="en-US"/>
        </w:rPr>
        <w:t>;29:361</w:t>
      </w:r>
      <w:proofErr w:type="gramEnd"/>
      <w:r w:rsidR="008F59CF">
        <w:rPr>
          <w:lang w:val="en-US"/>
        </w:rPr>
        <w:t xml:space="preserve">-364. </w:t>
      </w:r>
    </w:p>
    <w:p w:rsidR="00596ECA" w:rsidRPr="00596ECA" w:rsidRDefault="00596ECA" w:rsidP="001A20A0">
      <w:pPr>
        <w:tabs>
          <w:tab w:val="left" w:pos="709"/>
        </w:tabs>
        <w:ind w:left="142" w:right="-380"/>
        <w:rPr>
          <w:b/>
          <w:lang w:val="en-US"/>
        </w:rPr>
      </w:pPr>
    </w:p>
    <w:p w:rsidR="00596ECA" w:rsidRPr="002F0DD6" w:rsidRDefault="00596ECA" w:rsidP="001A20A0">
      <w:pPr>
        <w:widowControl/>
        <w:tabs>
          <w:tab w:val="left" w:pos="709"/>
        </w:tabs>
        <w:ind w:left="142" w:right="-380"/>
        <w:rPr>
          <w:lang w:val="en-US"/>
        </w:rPr>
      </w:pPr>
      <w:r w:rsidRPr="002F0DD6">
        <w:rPr>
          <w:lang w:val="en-US"/>
        </w:rPr>
        <w:t xml:space="preserve">Pasceri V, </w:t>
      </w:r>
      <w:r w:rsidRPr="002F0DD6">
        <w:rPr>
          <w:b/>
          <w:lang w:val="en-US"/>
        </w:rPr>
        <w:t>Cammarota G</w:t>
      </w:r>
      <w:r w:rsidRPr="002F0DD6">
        <w:rPr>
          <w:lang w:val="en-US"/>
        </w:rPr>
        <w:t>, Patti G, Cuoco L, Gasbarrini A, Grillo RL, Fedeli G, Gasbarrini G, Maseri A. Association of virulent Helicobacter pylori strains with ischemic heart disease. CIRCULATION</w:t>
      </w:r>
      <w:r w:rsidR="008F59CF" w:rsidRPr="002F0DD6">
        <w:rPr>
          <w:lang w:val="en-US"/>
        </w:rPr>
        <w:t xml:space="preserve"> 1998</w:t>
      </w:r>
      <w:proofErr w:type="gramStart"/>
      <w:r w:rsidR="008F59CF" w:rsidRPr="002F0DD6">
        <w:rPr>
          <w:lang w:val="en-US"/>
        </w:rPr>
        <w:t>;97:1675</w:t>
      </w:r>
      <w:proofErr w:type="gramEnd"/>
      <w:r w:rsidR="008F59CF" w:rsidRPr="002F0DD6">
        <w:rPr>
          <w:lang w:val="en-US"/>
        </w:rPr>
        <w:t xml:space="preserve">-1679. </w:t>
      </w:r>
    </w:p>
    <w:p w:rsidR="00596ECA" w:rsidRPr="002F0DD6" w:rsidRDefault="00596ECA" w:rsidP="001A20A0">
      <w:pPr>
        <w:tabs>
          <w:tab w:val="left" w:pos="709"/>
        </w:tabs>
        <w:ind w:left="142" w:right="-380"/>
        <w:rPr>
          <w:lang w:val="en-US"/>
        </w:rPr>
      </w:pPr>
    </w:p>
    <w:p w:rsidR="00596ECA" w:rsidRPr="00596ECA" w:rsidRDefault="00596ECA" w:rsidP="001A20A0">
      <w:pPr>
        <w:widowControl/>
        <w:tabs>
          <w:tab w:val="left" w:pos="709"/>
        </w:tabs>
        <w:ind w:left="142" w:right="-380"/>
      </w:pPr>
      <w:r w:rsidRPr="00596ECA">
        <w:rPr>
          <w:b/>
        </w:rPr>
        <w:t>Cammarota G</w:t>
      </w:r>
      <w:r w:rsidRPr="00596ECA">
        <w:t>, Cannizzaro O, Tursi A, Papa A, Gasbarrini A, Cuoco L, Armuzzi A, Fedeli G, Gasbarrini G. One week therapy for H.pylori eradication: ranitidine bismuth citrate plus medium dose clarithromycin and tinidazole or amoxycillin. ALIMENTARY PHARMACOLOGY &amp; THERAPEUTI</w:t>
      </w:r>
      <w:r w:rsidR="008F59CF">
        <w:t xml:space="preserve">CS </w:t>
      </w:r>
      <w:proofErr w:type="gramStart"/>
      <w:r w:rsidR="008F59CF">
        <w:t>1998;12:539</w:t>
      </w:r>
      <w:proofErr w:type="gramEnd"/>
      <w:r w:rsidR="008F59CF">
        <w:t xml:space="preserve">-543. </w:t>
      </w:r>
    </w:p>
    <w:p w:rsidR="00596ECA" w:rsidRPr="00596ECA" w:rsidRDefault="00596ECA" w:rsidP="001A20A0">
      <w:pPr>
        <w:tabs>
          <w:tab w:val="left" w:pos="709"/>
        </w:tabs>
        <w:ind w:left="142" w:right="-380"/>
      </w:pPr>
    </w:p>
    <w:p w:rsidR="00596ECA" w:rsidRPr="00596ECA" w:rsidRDefault="00596ECA" w:rsidP="001A20A0">
      <w:pPr>
        <w:widowControl/>
        <w:tabs>
          <w:tab w:val="left" w:pos="709"/>
        </w:tabs>
        <w:ind w:left="142" w:right="-380"/>
        <w:rPr>
          <w:lang w:val="en-US"/>
        </w:rPr>
      </w:pPr>
      <w:r w:rsidRPr="00170F1A">
        <w:rPr>
          <w:b/>
          <w:lang w:val="en-US"/>
        </w:rPr>
        <w:t>Cammarota G</w:t>
      </w:r>
      <w:r w:rsidRPr="00170F1A">
        <w:rPr>
          <w:lang w:val="en-US"/>
        </w:rPr>
        <w:t xml:space="preserve">, Pasceri V, Papa A, Cianci R, Gasbarrini A, Fedeli P, Cremonini F, Fedeli G, Maseri A, Gasbarrini G. Helicobacter pylori infection and ischaemic heart disease. </w:t>
      </w:r>
      <w:r w:rsidRPr="00596ECA">
        <w:rPr>
          <w:lang w:val="en-US"/>
        </w:rPr>
        <w:t>ITALIAN JOURNAL OF GASTROENTEROLOGY AND HEPATOLOGY 1998</w:t>
      </w:r>
      <w:proofErr w:type="gramStart"/>
      <w:r w:rsidRPr="00596ECA">
        <w:rPr>
          <w:lang w:val="en-US"/>
        </w:rPr>
        <w:t>;30</w:t>
      </w:r>
      <w:proofErr w:type="gramEnd"/>
      <w:r w:rsidRPr="00596ECA">
        <w:rPr>
          <w:lang w:val="en-US"/>
        </w:rPr>
        <w:t>(</w:t>
      </w:r>
      <w:r w:rsidR="008F59CF">
        <w:rPr>
          <w:lang w:val="en-US"/>
        </w:rPr>
        <w:t xml:space="preserve">suppl.3):S304-306.  </w:t>
      </w:r>
    </w:p>
    <w:p w:rsidR="00596ECA" w:rsidRPr="00596ECA" w:rsidRDefault="00596ECA" w:rsidP="001A20A0">
      <w:pPr>
        <w:tabs>
          <w:tab w:val="left" w:pos="709"/>
        </w:tabs>
        <w:ind w:left="142" w:right="-380"/>
        <w:rPr>
          <w:lang w:val="en-US"/>
        </w:rPr>
      </w:pPr>
    </w:p>
    <w:p w:rsidR="00596ECA" w:rsidRPr="00596ECA" w:rsidRDefault="00596ECA" w:rsidP="001A20A0">
      <w:pPr>
        <w:widowControl/>
        <w:tabs>
          <w:tab w:val="left" w:pos="709"/>
        </w:tabs>
        <w:ind w:left="142" w:right="-380"/>
      </w:pPr>
      <w:r w:rsidRPr="00596ECA">
        <w:rPr>
          <w:b/>
          <w:lang w:val="en-US"/>
        </w:rPr>
        <w:t>Cammarota G</w:t>
      </w:r>
      <w:r w:rsidRPr="00596ECA">
        <w:rPr>
          <w:lang w:val="en-US"/>
        </w:rPr>
        <w:t xml:space="preserve">, Papa A, Cianci R, Cannizzaro O, Armuzzi A, Gasbarrini A, Addolorato G, Gasbarrini G. 3-Day antibiotic therapy with azithromycin and tinidazole plus lansoprazole or pantoprazole to cure Helicobacter pylori infection: a pilot study. </w:t>
      </w:r>
      <w:r w:rsidRPr="00596ECA">
        <w:t>EUROPEAN JOURNAL OF GASTROENTEROLOGY &amp; HEPATOLOGY</w:t>
      </w:r>
      <w:r w:rsidR="008F59CF">
        <w:t xml:space="preserve"> 1999;11(3):247-50. </w:t>
      </w:r>
    </w:p>
    <w:p w:rsidR="00596ECA" w:rsidRPr="00596ECA" w:rsidRDefault="00596ECA" w:rsidP="001A20A0">
      <w:pPr>
        <w:tabs>
          <w:tab w:val="left" w:pos="709"/>
        </w:tabs>
        <w:ind w:left="142" w:right="-380"/>
      </w:pPr>
    </w:p>
    <w:p w:rsidR="00596ECA" w:rsidRPr="00596ECA" w:rsidRDefault="00596ECA" w:rsidP="001A20A0">
      <w:pPr>
        <w:widowControl/>
        <w:tabs>
          <w:tab w:val="left" w:pos="709"/>
        </w:tabs>
        <w:ind w:left="142" w:right="-380"/>
      </w:pPr>
      <w:r w:rsidRPr="00596ECA">
        <w:rPr>
          <w:b/>
          <w:lang w:val="en-US"/>
        </w:rPr>
        <w:t>Cammarota G</w:t>
      </w:r>
      <w:r w:rsidRPr="00596ECA">
        <w:rPr>
          <w:lang w:val="en-US"/>
        </w:rPr>
        <w:t xml:space="preserve">, Cianci R, Gasbarrini G. Eradication of Helicobacter pylori in routine clinical practice: doubts and uncertainties. </w:t>
      </w:r>
      <w:r w:rsidRPr="00596ECA">
        <w:t>HEPATO-GASTROENTEROLO</w:t>
      </w:r>
      <w:r w:rsidR="008F59CF">
        <w:t xml:space="preserve">GY </w:t>
      </w:r>
      <w:proofErr w:type="gramStart"/>
      <w:r w:rsidR="008F59CF">
        <w:t>1999;46:312</w:t>
      </w:r>
      <w:proofErr w:type="gramEnd"/>
      <w:r w:rsidR="008F59CF">
        <w:t xml:space="preserve">-315. </w:t>
      </w:r>
    </w:p>
    <w:p w:rsidR="00596ECA" w:rsidRPr="00596ECA" w:rsidRDefault="00596ECA" w:rsidP="001A20A0">
      <w:pPr>
        <w:tabs>
          <w:tab w:val="left" w:pos="709"/>
        </w:tabs>
        <w:ind w:left="142" w:right="-380"/>
      </w:pPr>
    </w:p>
    <w:p w:rsidR="00596ECA" w:rsidRPr="00596ECA" w:rsidRDefault="00596ECA" w:rsidP="001A20A0">
      <w:pPr>
        <w:widowControl/>
        <w:tabs>
          <w:tab w:val="left" w:pos="709"/>
        </w:tabs>
        <w:ind w:left="142" w:right="-380"/>
      </w:pPr>
      <w:r w:rsidRPr="00596ECA">
        <w:rPr>
          <w:b/>
          <w:lang w:val="en-US"/>
        </w:rPr>
        <w:lastRenderedPageBreak/>
        <w:t>Cammarota G</w:t>
      </w:r>
      <w:r w:rsidRPr="00596ECA">
        <w:rPr>
          <w:lang w:val="en-US"/>
        </w:rPr>
        <w:t xml:space="preserve">, Cianci R, Pirozzi G, Gasbarrini G. Minimal endoscopic aspects of gastric low-grade MALT lymphoma. </w:t>
      </w:r>
      <w:r w:rsidRPr="00596ECA">
        <w:t>HEPATO-GASTROENTEROLO</w:t>
      </w:r>
      <w:r w:rsidR="008F59CF">
        <w:t xml:space="preserve">GY 1999;446(29):2818-22. </w:t>
      </w:r>
    </w:p>
    <w:p w:rsidR="00596ECA" w:rsidRPr="00596ECA" w:rsidRDefault="00596ECA" w:rsidP="001A20A0">
      <w:pPr>
        <w:tabs>
          <w:tab w:val="left" w:pos="709"/>
        </w:tabs>
        <w:ind w:left="142" w:right="-380"/>
      </w:pPr>
    </w:p>
    <w:p w:rsidR="00596ECA" w:rsidRPr="002F0DD6" w:rsidRDefault="00596ECA" w:rsidP="001A20A0">
      <w:pPr>
        <w:widowControl/>
        <w:tabs>
          <w:tab w:val="left" w:pos="709"/>
        </w:tabs>
        <w:ind w:left="142" w:right="-380"/>
        <w:rPr>
          <w:lang w:val="en-US"/>
        </w:rPr>
      </w:pPr>
      <w:r w:rsidRPr="00596ECA">
        <w:rPr>
          <w:b/>
          <w:lang w:val="en-US"/>
        </w:rPr>
        <w:t>Cammarota G</w:t>
      </w:r>
      <w:r w:rsidRPr="00596ECA">
        <w:rPr>
          <w:lang w:val="en-US"/>
        </w:rPr>
        <w:t xml:space="preserve">, Cannizzaro O, Cianci R, Armuzzi A, Gasbarrini A, Pastorelli A, Gasbarrini G. Six-day or seven-day regimens with ranitidine bismuth citrate plus high dose clarithromycin and tinidazole are both effective against Helicobacter pylori infection. </w:t>
      </w:r>
      <w:r w:rsidRPr="002F0DD6">
        <w:rPr>
          <w:lang w:val="en-US"/>
        </w:rPr>
        <w:t>DIGESTIVE DISEASES AND SCIENCES 199</w:t>
      </w:r>
      <w:r w:rsidR="008F59CF" w:rsidRPr="002F0DD6">
        <w:rPr>
          <w:lang w:val="en-US"/>
        </w:rPr>
        <w:t>9</w:t>
      </w:r>
      <w:proofErr w:type="gramStart"/>
      <w:r w:rsidR="008F59CF" w:rsidRPr="002F0DD6">
        <w:rPr>
          <w:lang w:val="en-US"/>
        </w:rPr>
        <w:t>;44</w:t>
      </w:r>
      <w:proofErr w:type="gramEnd"/>
      <w:r w:rsidR="008F59CF" w:rsidRPr="002F0DD6">
        <w:rPr>
          <w:lang w:val="en-US"/>
        </w:rPr>
        <w:t xml:space="preserve">(12):2386-2389. </w:t>
      </w:r>
    </w:p>
    <w:p w:rsidR="00596ECA" w:rsidRPr="002F0DD6" w:rsidRDefault="00596ECA" w:rsidP="001A20A0">
      <w:pPr>
        <w:tabs>
          <w:tab w:val="left" w:pos="709"/>
        </w:tabs>
        <w:ind w:left="142" w:right="-380"/>
        <w:rPr>
          <w:lang w:val="en-US"/>
        </w:rPr>
      </w:pPr>
    </w:p>
    <w:p w:rsidR="00596ECA" w:rsidRPr="002F0DD6" w:rsidRDefault="00596ECA" w:rsidP="001A20A0">
      <w:pPr>
        <w:widowControl/>
        <w:tabs>
          <w:tab w:val="left" w:pos="709"/>
        </w:tabs>
        <w:ind w:left="142" w:right="-380"/>
        <w:rPr>
          <w:lang w:val="en-US"/>
        </w:rPr>
      </w:pPr>
      <w:r w:rsidRPr="002F0DD6">
        <w:rPr>
          <w:b/>
          <w:lang w:val="en-US"/>
        </w:rPr>
        <w:t>Cammarota G</w:t>
      </w:r>
      <w:r w:rsidRPr="002F0DD6">
        <w:rPr>
          <w:lang w:val="en-US"/>
        </w:rPr>
        <w:t>, Cannizzaro O, Cianci R, Gasbarrini A, Pirozzi G, Gasbarrini G. Six-day therapy with ranitidine bismuth citrate plus low dose clarithromycin and tinidazole to cure Helicobacter pylori infection. HEPATO-GASTROENTEROLOGY 200</w:t>
      </w:r>
      <w:r w:rsidR="008F59CF" w:rsidRPr="002F0DD6">
        <w:rPr>
          <w:lang w:val="en-US"/>
        </w:rPr>
        <w:t>0</w:t>
      </w:r>
      <w:proofErr w:type="gramStart"/>
      <w:r w:rsidR="008F59CF" w:rsidRPr="002F0DD6">
        <w:rPr>
          <w:lang w:val="en-US"/>
        </w:rPr>
        <w:t>;47</w:t>
      </w:r>
      <w:proofErr w:type="gramEnd"/>
      <w:r w:rsidR="008F59CF" w:rsidRPr="002F0DD6">
        <w:rPr>
          <w:lang w:val="en-US"/>
        </w:rPr>
        <w:t xml:space="preserve">(34):1176-1179. </w:t>
      </w:r>
    </w:p>
    <w:p w:rsidR="00596ECA" w:rsidRPr="002F0DD6" w:rsidRDefault="00596ECA" w:rsidP="001A20A0">
      <w:pPr>
        <w:tabs>
          <w:tab w:val="left" w:pos="709"/>
        </w:tabs>
        <w:ind w:left="142" w:right="-380"/>
        <w:rPr>
          <w:lang w:val="en-US"/>
        </w:rPr>
      </w:pPr>
    </w:p>
    <w:p w:rsidR="00596ECA" w:rsidRPr="00596ECA" w:rsidRDefault="00596ECA" w:rsidP="001A20A0">
      <w:pPr>
        <w:widowControl/>
        <w:tabs>
          <w:tab w:val="left" w:pos="709"/>
        </w:tabs>
        <w:ind w:left="142" w:right="-380"/>
      </w:pPr>
      <w:r w:rsidRPr="00596ECA">
        <w:rPr>
          <w:b/>
          <w:lang w:val="en-US"/>
        </w:rPr>
        <w:t>Cammarota G</w:t>
      </w:r>
      <w:r w:rsidRPr="00596ECA">
        <w:rPr>
          <w:lang w:val="en-US"/>
        </w:rPr>
        <w:t xml:space="preserve">, Cannizzaro O, Ojetti V, Cianci R, Pastorelli A, Armuzzi A, Gasbarrini A, Pirozzi G, Gasbarrini G. Five-day regimens containing ranitidine bismuth citrate plus high dose clarithromycin plus either amoxycillin or tinidazole are effective for the treatment of Helicobacter pylori infection. </w:t>
      </w:r>
      <w:r w:rsidRPr="00596ECA">
        <w:t>ALIMENTARY PHARMACOLOGY &amp; THERAPEUTICS</w:t>
      </w:r>
      <w:r w:rsidR="008F59CF">
        <w:t xml:space="preserve"> 2000;14(1):73-77.  </w:t>
      </w:r>
    </w:p>
    <w:p w:rsidR="00596ECA" w:rsidRPr="00596ECA" w:rsidRDefault="00596ECA" w:rsidP="001A20A0">
      <w:pPr>
        <w:tabs>
          <w:tab w:val="left" w:pos="709"/>
        </w:tabs>
        <w:ind w:left="142" w:right="-380"/>
      </w:pPr>
    </w:p>
    <w:p w:rsidR="00596ECA" w:rsidRPr="002F0DD6" w:rsidRDefault="00596ECA" w:rsidP="001A20A0">
      <w:pPr>
        <w:widowControl/>
        <w:tabs>
          <w:tab w:val="left" w:pos="709"/>
        </w:tabs>
        <w:ind w:left="142" w:right="-380"/>
        <w:rPr>
          <w:lang w:val="en-US"/>
        </w:rPr>
      </w:pPr>
      <w:r w:rsidRPr="00596ECA">
        <w:rPr>
          <w:b/>
          <w:lang w:val="en-US"/>
        </w:rPr>
        <w:t>Cammarota G</w:t>
      </w:r>
      <w:r w:rsidRPr="00596ECA">
        <w:rPr>
          <w:lang w:val="en-US"/>
        </w:rPr>
        <w:t xml:space="preserve">, V.Pasceri, Gasbarrini A, Gasbarrini G. Helicobacter pylori is an aetiological agent in ischaemic heart disease: the case against. </w:t>
      </w:r>
      <w:r w:rsidRPr="002F0DD6">
        <w:rPr>
          <w:lang w:val="en-US"/>
        </w:rPr>
        <w:t>DIGESTIVE AND LIVER DIS</w:t>
      </w:r>
      <w:r w:rsidR="008F59CF" w:rsidRPr="002F0DD6">
        <w:rPr>
          <w:lang w:val="en-US"/>
        </w:rPr>
        <w:t>EASE 2000</w:t>
      </w:r>
      <w:proofErr w:type="gramStart"/>
      <w:r w:rsidR="008F59CF" w:rsidRPr="002F0DD6">
        <w:rPr>
          <w:lang w:val="en-US"/>
        </w:rPr>
        <w:t>;32:65</w:t>
      </w:r>
      <w:proofErr w:type="gramEnd"/>
      <w:r w:rsidR="008F59CF" w:rsidRPr="002F0DD6">
        <w:rPr>
          <w:lang w:val="en-US"/>
        </w:rPr>
        <w:t xml:space="preserve">-68. </w:t>
      </w:r>
    </w:p>
    <w:p w:rsidR="00596ECA" w:rsidRPr="002F0DD6" w:rsidRDefault="00596ECA" w:rsidP="001A20A0">
      <w:pPr>
        <w:tabs>
          <w:tab w:val="left" w:pos="709"/>
        </w:tabs>
        <w:ind w:left="142" w:right="-380"/>
        <w:rPr>
          <w:lang w:val="en-US"/>
        </w:rPr>
      </w:pPr>
    </w:p>
    <w:p w:rsidR="00596ECA" w:rsidRPr="002F0DD6" w:rsidRDefault="00596ECA" w:rsidP="001A20A0">
      <w:pPr>
        <w:widowControl/>
        <w:tabs>
          <w:tab w:val="left" w:pos="709"/>
        </w:tabs>
        <w:ind w:left="142" w:right="-380"/>
        <w:rPr>
          <w:lang w:val="en-US"/>
        </w:rPr>
      </w:pPr>
      <w:r w:rsidRPr="002F0DD6">
        <w:rPr>
          <w:b/>
          <w:lang w:val="en-US"/>
        </w:rPr>
        <w:t>Cammarota G</w:t>
      </w:r>
      <w:r w:rsidRPr="002F0DD6">
        <w:rPr>
          <w:lang w:val="en-US"/>
        </w:rPr>
        <w:t>, Cianci R, Cannizzaro O, Cuoco L, Pirozzi G, Gasbarrini A, Zocco MA, Santarelli L, Arancio F, Gasbarrini G. Efficacy of two one-week rabeprazole/levofloxacin-based triple therapies for Helicobacter pylori infection. ALIMENTARY PHARMACOLOGY &amp; THERAPEUTICS</w:t>
      </w:r>
      <w:r w:rsidR="008F59CF" w:rsidRPr="002F0DD6">
        <w:rPr>
          <w:lang w:val="en-US"/>
        </w:rPr>
        <w:t xml:space="preserve"> 2000</w:t>
      </w:r>
      <w:proofErr w:type="gramStart"/>
      <w:r w:rsidR="008F59CF" w:rsidRPr="002F0DD6">
        <w:rPr>
          <w:lang w:val="en-US"/>
        </w:rPr>
        <w:t>;14:1339</w:t>
      </w:r>
      <w:proofErr w:type="gramEnd"/>
      <w:r w:rsidR="008F59CF" w:rsidRPr="002F0DD6">
        <w:rPr>
          <w:lang w:val="en-US"/>
        </w:rPr>
        <w:t xml:space="preserve">-1343. </w:t>
      </w:r>
    </w:p>
    <w:p w:rsidR="00596ECA" w:rsidRPr="002F0DD6" w:rsidRDefault="00596ECA" w:rsidP="001A20A0">
      <w:pPr>
        <w:tabs>
          <w:tab w:val="left" w:pos="709"/>
        </w:tabs>
        <w:ind w:left="142" w:right="-380"/>
        <w:rPr>
          <w:lang w:val="en-US"/>
        </w:rPr>
      </w:pPr>
    </w:p>
    <w:p w:rsidR="00596ECA" w:rsidRPr="00596ECA" w:rsidRDefault="00596ECA" w:rsidP="001A20A0">
      <w:pPr>
        <w:widowControl/>
        <w:tabs>
          <w:tab w:val="left" w:pos="709"/>
        </w:tabs>
        <w:ind w:left="142" w:right="-380"/>
      </w:pPr>
      <w:r w:rsidRPr="00596ECA">
        <w:rPr>
          <w:b/>
        </w:rPr>
        <w:t>Cammarota G</w:t>
      </w:r>
      <w:r w:rsidRPr="00596ECA">
        <w:t xml:space="preserve">, Figura N, Cianci R, Pasceri V, Fedeli P, Lenzi GC, Gasbarrini G. Is there an antigenic mimicry between arteriosclerotic lesions and H.pylori antigens? CLINICAL BIOCHEMISTRY </w:t>
      </w:r>
      <w:r w:rsidR="008F59CF">
        <w:t xml:space="preserve">2000;33(5):419-421. </w:t>
      </w:r>
    </w:p>
    <w:p w:rsidR="00596ECA" w:rsidRPr="00596ECA" w:rsidRDefault="00596ECA" w:rsidP="001A20A0">
      <w:pPr>
        <w:tabs>
          <w:tab w:val="left" w:pos="709"/>
        </w:tabs>
        <w:ind w:left="142" w:right="-380"/>
      </w:pPr>
    </w:p>
    <w:p w:rsidR="00596ECA" w:rsidRPr="00170F1A" w:rsidRDefault="00596ECA" w:rsidP="001A20A0">
      <w:pPr>
        <w:widowControl/>
        <w:tabs>
          <w:tab w:val="left" w:pos="567"/>
          <w:tab w:val="left" w:pos="709"/>
        </w:tabs>
        <w:ind w:left="142" w:right="-380"/>
        <w:rPr>
          <w:lang w:val="en-US"/>
        </w:rPr>
      </w:pPr>
      <w:r w:rsidRPr="00596ECA">
        <w:rPr>
          <w:b/>
          <w:lang w:val="en-US"/>
        </w:rPr>
        <w:t>Cammarota G</w:t>
      </w:r>
      <w:r w:rsidRPr="00596ECA">
        <w:rPr>
          <w:lang w:val="en-US"/>
        </w:rPr>
        <w:t xml:space="preserve">, Cuoco L, Cianci R, Pandolfi F, Gasbarrini G. Onset of coeliac disease during treatment with interferon for chronic hepatitis C. LANCET 2000;356:1495-1496. </w:t>
      </w:r>
    </w:p>
    <w:p w:rsidR="00596ECA" w:rsidRPr="00170F1A" w:rsidRDefault="00596ECA" w:rsidP="001A20A0">
      <w:pPr>
        <w:tabs>
          <w:tab w:val="left" w:pos="567"/>
          <w:tab w:val="left" w:pos="709"/>
        </w:tabs>
        <w:ind w:left="142" w:right="-380"/>
        <w:rPr>
          <w:lang w:val="en-US"/>
        </w:rPr>
      </w:pPr>
    </w:p>
    <w:p w:rsidR="00596ECA" w:rsidRPr="00170F1A" w:rsidRDefault="00596ECA" w:rsidP="001A20A0">
      <w:pPr>
        <w:widowControl/>
        <w:tabs>
          <w:tab w:val="left" w:pos="567"/>
          <w:tab w:val="left" w:pos="709"/>
        </w:tabs>
        <w:ind w:left="142" w:right="-380"/>
        <w:rPr>
          <w:lang w:val="en-US"/>
        </w:rPr>
      </w:pPr>
      <w:r w:rsidRPr="00170F1A">
        <w:rPr>
          <w:b/>
          <w:lang w:val="en-US"/>
        </w:rPr>
        <w:t>Cammarota G</w:t>
      </w:r>
      <w:r w:rsidRPr="00170F1A">
        <w:rPr>
          <w:lang w:val="en-US"/>
        </w:rPr>
        <w:t xml:space="preserve">, Larocca LM, D’Ugo D, Persiani R, Cianci R, Nocente R, Picciocchi A, Gasbarrini G. Sinchronous gastric adenocarcinoma and MALT-lymphoma in a patient with H.pylori infection. </w:t>
      </w:r>
      <w:r w:rsidRPr="00596ECA">
        <w:rPr>
          <w:lang w:val="en-US"/>
        </w:rPr>
        <w:t xml:space="preserve">Could the two neoplasies share a common </w:t>
      </w:r>
      <w:proofErr w:type="gramStart"/>
      <w:r w:rsidRPr="00596ECA">
        <w:rPr>
          <w:lang w:val="en-US"/>
        </w:rPr>
        <w:t>pathogenesis.</w:t>
      </w:r>
      <w:proofErr w:type="gramEnd"/>
      <w:r w:rsidRPr="00596ECA">
        <w:rPr>
          <w:lang w:val="en-US"/>
        </w:rPr>
        <w:t xml:space="preserve"> HEPATO-GASTRO</w:t>
      </w:r>
      <w:r w:rsidR="008F59CF">
        <w:rPr>
          <w:lang w:val="en-US"/>
        </w:rPr>
        <w:t>ENTEROLOGY 2001</w:t>
      </w:r>
      <w:proofErr w:type="gramStart"/>
      <w:r w:rsidR="008F59CF">
        <w:rPr>
          <w:lang w:val="en-US"/>
        </w:rPr>
        <w:t>;</w:t>
      </w:r>
      <w:proofErr w:type="gramEnd"/>
      <w:r w:rsidR="008F59CF">
        <w:rPr>
          <w:lang w:val="en-US"/>
        </w:rPr>
        <w:t xml:space="preserve"> 48(37):104-6.</w:t>
      </w:r>
    </w:p>
    <w:p w:rsidR="00596ECA" w:rsidRPr="00170F1A" w:rsidRDefault="00596ECA" w:rsidP="001A20A0">
      <w:pPr>
        <w:tabs>
          <w:tab w:val="left" w:pos="567"/>
          <w:tab w:val="left" w:pos="709"/>
        </w:tabs>
        <w:ind w:left="142" w:right="-380"/>
        <w:rPr>
          <w:lang w:val="en-US"/>
        </w:rPr>
      </w:pPr>
    </w:p>
    <w:p w:rsidR="00596ECA" w:rsidRPr="00596ECA" w:rsidRDefault="00596ECA" w:rsidP="001A20A0">
      <w:pPr>
        <w:widowControl/>
        <w:tabs>
          <w:tab w:val="left" w:pos="567"/>
          <w:tab w:val="left" w:pos="709"/>
        </w:tabs>
        <w:ind w:left="142" w:right="-380"/>
        <w:rPr>
          <w:lang w:val="en-US"/>
        </w:rPr>
      </w:pPr>
      <w:r w:rsidRPr="00596ECA">
        <w:rPr>
          <w:b/>
        </w:rPr>
        <w:t>Cammarota G</w:t>
      </w:r>
      <w:r w:rsidRPr="00596ECA">
        <w:t xml:space="preserve">, Pignataro F, Cuoco L, Cianci R, Carbone A, Gasbarrini G, Rapaccini GL. </w:t>
      </w:r>
      <w:r w:rsidRPr="00596ECA">
        <w:rPr>
          <w:lang w:val="en-US"/>
        </w:rPr>
        <w:t>EUS in the diagnosis of collagenous colitis. GASTROINTESTINAL ENDOSCOPY 200</w:t>
      </w:r>
      <w:r w:rsidR="008F59CF">
        <w:rPr>
          <w:lang w:val="en-US"/>
        </w:rPr>
        <w:t xml:space="preserve">1; 54(1):113-115. </w:t>
      </w:r>
    </w:p>
    <w:p w:rsidR="00596ECA" w:rsidRPr="00596ECA" w:rsidRDefault="00596ECA" w:rsidP="001A20A0">
      <w:pPr>
        <w:tabs>
          <w:tab w:val="left" w:pos="567"/>
          <w:tab w:val="left" w:pos="709"/>
        </w:tabs>
        <w:ind w:left="142" w:right="-380"/>
        <w:rPr>
          <w:lang w:val="en-US"/>
        </w:rPr>
      </w:pPr>
    </w:p>
    <w:p w:rsidR="00596ECA" w:rsidRPr="00596ECA" w:rsidRDefault="00596ECA" w:rsidP="001A20A0">
      <w:pPr>
        <w:widowControl/>
        <w:tabs>
          <w:tab w:val="left" w:pos="567"/>
          <w:tab w:val="left" w:pos="709"/>
        </w:tabs>
        <w:ind w:left="142" w:right="-380"/>
      </w:pPr>
      <w:r w:rsidRPr="00596ECA">
        <w:rPr>
          <w:b/>
        </w:rPr>
        <w:t>Cammarota G</w:t>
      </w:r>
      <w:r w:rsidRPr="00596ECA">
        <w:t xml:space="preserve">, Cianci R, Grillo RL, Martini M, Di Campli C, Pompili M, Pignataro G, Cuoco L, De Lorenzo A, Gasbarrini G, Pandolfi F, Larocca LM. </w:t>
      </w:r>
      <w:r w:rsidRPr="00596ECA">
        <w:rPr>
          <w:lang w:val="en-US"/>
        </w:rPr>
        <w:t xml:space="preserve">Relationship between gastric localization of hepatitis C virus and mucosa-associated lymphoid tissue in Helicobacter pylori infection. </w:t>
      </w:r>
      <w:r w:rsidRPr="00596ECA">
        <w:t>SCANDINAVIAN JOURNAL OF GASTROENTEROLOGY</w:t>
      </w:r>
      <w:r w:rsidR="008F59CF">
        <w:t xml:space="preserve"> </w:t>
      </w:r>
      <w:proofErr w:type="gramStart"/>
      <w:r w:rsidR="008F59CF">
        <w:t>2002;37:1126</w:t>
      </w:r>
      <w:proofErr w:type="gramEnd"/>
      <w:r w:rsidR="008F59CF">
        <w:t xml:space="preserve">-1132. </w:t>
      </w:r>
    </w:p>
    <w:p w:rsidR="00596ECA" w:rsidRPr="00596ECA" w:rsidRDefault="00596ECA" w:rsidP="001A20A0">
      <w:pPr>
        <w:tabs>
          <w:tab w:val="left" w:pos="567"/>
          <w:tab w:val="left" w:pos="709"/>
        </w:tabs>
        <w:ind w:left="142" w:right="-380"/>
      </w:pPr>
    </w:p>
    <w:p w:rsidR="00596ECA" w:rsidRPr="002F0DD6" w:rsidRDefault="00596ECA" w:rsidP="001A20A0">
      <w:pPr>
        <w:widowControl/>
        <w:tabs>
          <w:tab w:val="left" w:pos="567"/>
          <w:tab w:val="left" w:pos="709"/>
        </w:tabs>
        <w:ind w:left="142" w:right="-380"/>
        <w:rPr>
          <w:lang w:val="en-US"/>
        </w:rPr>
      </w:pPr>
      <w:r w:rsidRPr="00596ECA">
        <w:rPr>
          <w:b/>
          <w:lang w:val="en-US"/>
        </w:rPr>
        <w:t>Cammarota G</w:t>
      </w:r>
      <w:r w:rsidRPr="00596ECA">
        <w:rPr>
          <w:lang w:val="en-US"/>
        </w:rPr>
        <w:t xml:space="preserve">, Elia F, Cianci R, Galli J, Paolillo N, Montalto M, Gasbarrini G. Worsening of gastro-esophageal reflux symptoms in professional singers during performances. </w:t>
      </w:r>
      <w:r w:rsidRPr="002F0DD6">
        <w:rPr>
          <w:lang w:val="en-US"/>
        </w:rPr>
        <w:t>JOURNAL OF CLINICAL GASTROENTEROLOGY 2003; 36(5):</w:t>
      </w:r>
      <w:r w:rsidR="008F59CF" w:rsidRPr="002F0DD6">
        <w:rPr>
          <w:lang w:val="en-US"/>
        </w:rPr>
        <w:t xml:space="preserve"> 403-404. </w:t>
      </w:r>
    </w:p>
    <w:p w:rsidR="00596ECA" w:rsidRPr="002F0DD6" w:rsidRDefault="00596ECA" w:rsidP="001A20A0">
      <w:pPr>
        <w:tabs>
          <w:tab w:val="left" w:pos="567"/>
          <w:tab w:val="left" w:pos="709"/>
        </w:tabs>
        <w:ind w:left="142" w:right="-380"/>
        <w:rPr>
          <w:lang w:val="en-US"/>
        </w:rPr>
      </w:pPr>
    </w:p>
    <w:p w:rsidR="00596ECA" w:rsidRPr="002F0DD6" w:rsidRDefault="00596ECA" w:rsidP="001A20A0">
      <w:pPr>
        <w:pStyle w:val="Corpodeltesto3"/>
        <w:tabs>
          <w:tab w:val="left" w:pos="567"/>
          <w:tab w:val="left" w:pos="709"/>
        </w:tabs>
        <w:spacing w:after="0"/>
        <w:ind w:left="142" w:right="-380"/>
        <w:rPr>
          <w:rFonts w:ascii="Times New Roman" w:hAnsi="Times New Roman"/>
          <w:lang w:val="en-US"/>
        </w:rPr>
      </w:pPr>
      <w:r w:rsidRPr="002F0DD6">
        <w:rPr>
          <w:rFonts w:ascii="Times New Roman" w:hAnsi="Times New Roman"/>
          <w:b/>
          <w:lang w:val="en-US"/>
        </w:rPr>
        <w:t>Cammarota G</w:t>
      </w:r>
      <w:r w:rsidRPr="002F0DD6">
        <w:rPr>
          <w:rFonts w:ascii="Times New Roman" w:hAnsi="Times New Roman"/>
          <w:lang w:val="en-US"/>
        </w:rPr>
        <w:t xml:space="preserve">, Galli J, Cianci R, De Corso E, Pasceri V, Palli D, Masala G, Buffon A, Gasbarrini A, Almadori G, Paludetti G, Gasbarrini G, Maurizi M. Association of laryngeal cancer with previous gastric resection. ANNALS OF SURGERY </w:t>
      </w:r>
      <w:r w:rsidR="008F59CF" w:rsidRPr="002F0DD6">
        <w:rPr>
          <w:rFonts w:ascii="Times New Roman" w:hAnsi="Times New Roman"/>
          <w:lang w:val="en-US"/>
        </w:rPr>
        <w:t xml:space="preserve">2004;240(5):817-824. </w:t>
      </w:r>
    </w:p>
    <w:p w:rsidR="00596ECA" w:rsidRPr="002F0DD6" w:rsidRDefault="00596ECA" w:rsidP="001A20A0">
      <w:pPr>
        <w:pStyle w:val="Corpodeltesto3"/>
        <w:tabs>
          <w:tab w:val="left" w:pos="709"/>
          <w:tab w:val="left" w:pos="3540"/>
        </w:tabs>
        <w:spacing w:after="0"/>
        <w:ind w:left="142" w:right="-380"/>
        <w:rPr>
          <w:rFonts w:ascii="Times New Roman" w:hAnsi="Times New Roman"/>
          <w:lang w:val="en-US"/>
        </w:rPr>
      </w:pPr>
      <w:r w:rsidRPr="002F0DD6">
        <w:rPr>
          <w:rFonts w:ascii="Times New Roman" w:hAnsi="Times New Roman"/>
          <w:lang w:val="en-US"/>
        </w:rPr>
        <w:tab/>
      </w:r>
    </w:p>
    <w:p w:rsidR="00596ECA" w:rsidRPr="00596ECA" w:rsidRDefault="00596ECA" w:rsidP="001A20A0">
      <w:pPr>
        <w:pStyle w:val="Corpodeltesto3"/>
        <w:tabs>
          <w:tab w:val="left" w:pos="567"/>
          <w:tab w:val="left" w:pos="709"/>
        </w:tabs>
        <w:spacing w:after="0"/>
        <w:ind w:left="142" w:right="-380"/>
        <w:rPr>
          <w:rFonts w:ascii="Times New Roman" w:hAnsi="Times New Roman"/>
        </w:rPr>
      </w:pPr>
      <w:r w:rsidRPr="00596ECA">
        <w:rPr>
          <w:rFonts w:ascii="Times New Roman" w:hAnsi="Times New Roman"/>
          <w:b/>
        </w:rPr>
        <w:t>Cammarota G</w:t>
      </w:r>
      <w:r w:rsidRPr="00596ECA">
        <w:rPr>
          <w:rFonts w:ascii="Times New Roman" w:hAnsi="Times New Roman"/>
        </w:rPr>
        <w:t>, Cianci R, Cannizzaro O, Martino A, Fedeli P, Lecca PG, di Caro S, Cesaro P, Branca G, Gasbarrini G. High-dose versus low-dose clarithromycin in one-week triple therapy, including rabeprazole and levofloxacin, for Helicobacter pylori eradication. THE JOURNAL OF CLINICAL GASTROENTEROLOG</w:t>
      </w:r>
      <w:r w:rsidR="008F59CF">
        <w:rPr>
          <w:rFonts w:ascii="Times New Roman" w:hAnsi="Times New Roman"/>
        </w:rPr>
        <w:t>Y 2004;38(2):110-114.</w:t>
      </w:r>
    </w:p>
    <w:p w:rsidR="00596ECA" w:rsidRPr="00596ECA" w:rsidRDefault="00596ECA" w:rsidP="001A20A0">
      <w:pPr>
        <w:pStyle w:val="Corpodeltesto3"/>
        <w:tabs>
          <w:tab w:val="left" w:pos="567"/>
          <w:tab w:val="left" w:pos="709"/>
        </w:tabs>
        <w:spacing w:after="0"/>
        <w:ind w:left="142" w:right="-380"/>
        <w:rPr>
          <w:rFonts w:ascii="Times New Roman" w:hAnsi="Times New Roman"/>
        </w:rPr>
      </w:pPr>
    </w:p>
    <w:p w:rsidR="00596ECA" w:rsidRPr="00596ECA" w:rsidRDefault="00596ECA" w:rsidP="001A20A0">
      <w:pPr>
        <w:pStyle w:val="Corpodeltesto3"/>
        <w:tabs>
          <w:tab w:val="left" w:pos="567"/>
          <w:tab w:val="left" w:pos="709"/>
        </w:tabs>
        <w:spacing w:after="0"/>
        <w:ind w:left="142" w:right="-380"/>
        <w:rPr>
          <w:rFonts w:ascii="Times New Roman" w:hAnsi="Times New Roman"/>
        </w:rPr>
      </w:pPr>
      <w:r w:rsidRPr="00596ECA">
        <w:rPr>
          <w:rFonts w:ascii="Times New Roman" w:hAnsi="Times New Roman"/>
          <w:b/>
        </w:rPr>
        <w:t>Cammarota G</w:t>
      </w:r>
      <w:r w:rsidRPr="00596ECA">
        <w:rPr>
          <w:rFonts w:ascii="Times New Roman" w:hAnsi="Times New Roman"/>
        </w:rPr>
        <w:t xml:space="preserve">, Martino A, Pirozzi G, Cianci R, Branca G, Nista EC, Cazzato A, Cannizzaro O, Miele L, Grieco A, Gasbarrini A, Gasbarrini G. High efficacy of 1-week, both doxycycline- and amoxicillin-based quadruple regimen in a culture-guided, third-line treatment approach for Helicobacter pylori infection. ALIMENTARY PHARMACOLOGY AND THERAPEUTICS </w:t>
      </w:r>
      <w:r w:rsidR="008F59CF">
        <w:rPr>
          <w:rFonts w:ascii="Times New Roman" w:hAnsi="Times New Roman"/>
        </w:rPr>
        <w:t xml:space="preserve">2004;19(7):789-795. </w:t>
      </w:r>
    </w:p>
    <w:p w:rsidR="00596ECA" w:rsidRPr="00596ECA" w:rsidRDefault="00596ECA" w:rsidP="001A20A0">
      <w:pPr>
        <w:pStyle w:val="Corpodeltesto3"/>
        <w:tabs>
          <w:tab w:val="left" w:pos="567"/>
          <w:tab w:val="left" w:pos="709"/>
        </w:tabs>
        <w:spacing w:after="0"/>
        <w:ind w:left="142" w:right="-380"/>
        <w:rPr>
          <w:rFonts w:ascii="Times New Roman" w:hAnsi="Times New Roman"/>
          <w:b/>
        </w:rPr>
      </w:pPr>
    </w:p>
    <w:p w:rsidR="00596ECA" w:rsidRPr="00596ECA" w:rsidRDefault="00596ECA" w:rsidP="001A20A0">
      <w:pPr>
        <w:pStyle w:val="Corpodeltesto3"/>
        <w:tabs>
          <w:tab w:val="left" w:pos="567"/>
          <w:tab w:val="left" w:pos="709"/>
        </w:tabs>
        <w:spacing w:after="0"/>
        <w:ind w:left="142" w:right="-380"/>
        <w:rPr>
          <w:rFonts w:ascii="Times New Roman" w:hAnsi="Times New Roman"/>
        </w:rPr>
      </w:pPr>
      <w:r w:rsidRPr="00596ECA">
        <w:rPr>
          <w:rFonts w:ascii="Times New Roman" w:hAnsi="Times New Roman"/>
          <w:b/>
        </w:rPr>
        <w:t>Cammarota G</w:t>
      </w:r>
      <w:r w:rsidRPr="00596ECA">
        <w:rPr>
          <w:rFonts w:ascii="Times New Roman" w:hAnsi="Times New Roman"/>
        </w:rPr>
        <w:t xml:space="preserve">, Pirozzi, GA, Martino A, Zuccalà G, Cianci R, Cuoco L, Ojetti V, Landriscina M, Montalto M, Vecchio FM, Gasbarrini G, Gasbarrini A, Reliability of the "immersion technique" during routine upper GI endoscopy to detect abnormalities of duodenal villi in a population of dyspeptic subjects. GASTROINTESTINAL ENDOSCOPY </w:t>
      </w:r>
      <w:r w:rsidR="008F59CF">
        <w:rPr>
          <w:rFonts w:ascii="Times New Roman" w:hAnsi="Times New Roman"/>
        </w:rPr>
        <w:t xml:space="preserve">2004;60(2):223-228. </w:t>
      </w:r>
    </w:p>
    <w:p w:rsidR="00596ECA" w:rsidRPr="00596ECA" w:rsidRDefault="00596ECA" w:rsidP="001A20A0">
      <w:pPr>
        <w:pStyle w:val="Corpodeltesto3"/>
        <w:tabs>
          <w:tab w:val="left" w:pos="567"/>
          <w:tab w:val="left" w:pos="709"/>
        </w:tabs>
        <w:spacing w:after="0"/>
        <w:ind w:left="142" w:right="-380"/>
        <w:rPr>
          <w:rFonts w:ascii="Times New Roman" w:hAnsi="Times New Roman"/>
        </w:rPr>
      </w:pPr>
    </w:p>
    <w:p w:rsidR="00596ECA" w:rsidRPr="002F0DD6" w:rsidRDefault="00596ECA" w:rsidP="001A20A0">
      <w:pPr>
        <w:pStyle w:val="Corpodeltesto3"/>
        <w:tabs>
          <w:tab w:val="left" w:pos="567"/>
          <w:tab w:val="left" w:pos="709"/>
        </w:tabs>
        <w:spacing w:after="0"/>
        <w:ind w:left="142" w:right="-380"/>
        <w:rPr>
          <w:rFonts w:ascii="Times New Roman" w:hAnsi="Times New Roman"/>
          <w:b/>
          <w:lang w:val="en-US"/>
        </w:rPr>
      </w:pPr>
      <w:r w:rsidRPr="00596ECA">
        <w:rPr>
          <w:rFonts w:ascii="Times New Roman" w:hAnsi="Times New Roman"/>
          <w:b/>
          <w:lang w:val="en-US"/>
        </w:rPr>
        <w:t>Cammarota G</w:t>
      </w:r>
      <w:r w:rsidRPr="00596ECA">
        <w:rPr>
          <w:rFonts w:ascii="Times New Roman" w:hAnsi="Times New Roman"/>
          <w:lang w:val="en-US"/>
        </w:rPr>
        <w:t xml:space="preserve">, </w:t>
      </w:r>
      <w:r w:rsidRPr="008F59CF">
        <w:rPr>
          <w:rFonts w:ascii="Times New Roman" w:hAnsi="Times New Roman"/>
          <w:lang w:val="en-US"/>
        </w:rPr>
        <w:t>Gasbarrini G</w:t>
      </w:r>
      <w:r w:rsidRPr="008F59CF">
        <w:rPr>
          <w:rFonts w:ascii="Times New Roman" w:hAnsi="Times New Roman"/>
          <w:b/>
          <w:lang w:val="en-US"/>
        </w:rPr>
        <w:t xml:space="preserve">. </w:t>
      </w:r>
      <w:r w:rsidRPr="008F59CF">
        <w:rPr>
          <w:rStyle w:val="Enfasigrassetto"/>
          <w:rFonts w:ascii="Times New Roman" w:hAnsi="Times New Roman"/>
          <w:b w:val="0"/>
          <w:i/>
          <w:iCs/>
          <w:lang w:val="en-US"/>
        </w:rPr>
        <w:t>Helicobacter pylori</w:t>
      </w:r>
      <w:r w:rsidRPr="008F59CF">
        <w:rPr>
          <w:rStyle w:val="Enfasigrassetto"/>
          <w:rFonts w:ascii="Times New Roman" w:hAnsi="Times New Roman"/>
          <w:b w:val="0"/>
          <w:lang w:val="en-US"/>
        </w:rPr>
        <w:t xml:space="preserve"> and gastro-oesophageal reflux disease: Information on underlying pathology is not given. </w:t>
      </w:r>
      <w:r w:rsidRPr="002F0DD6">
        <w:rPr>
          <w:rStyle w:val="Enfasigrassetto"/>
          <w:rFonts w:ascii="Times New Roman" w:hAnsi="Times New Roman"/>
          <w:b w:val="0"/>
          <w:lang w:val="en-US"/>
        </w:rPr>
        <w:t>BRITISH MEDICAL JOURNAL (BMJ</w:t>
      </w:r>
      <w:r w:rsidRPr="002F0DD6">
        <w:rPr>
          <w:rStyle w:val="Enfasigrassetto"/>
          <w:rFonts w:ascii="Times New Roman" w:hAnsi="Times New Roman"/>
          <w:lang w:val="en-US"/>
        </w:rPr>
        <w:t xml:space="preserve">) </w:t>
      </w:r>
      <w:r w:rsidRPr="002F0DD6">
        <w:rPr>
          <w:rFonts w:ascii="Times New Roman" w:hAnsi="Times New Roman"/>
          <w:lang w:val="en-US"/>
        </w:rPr>
        <w:t xml:space="preserve">2004;329:402. </w:t>
      </w:r>
    </w:p>
    <w:p w:rsidR="00596ECA" w:rsidRPr="002F0DD6" w:rsidRDefault="00596ECA" w:rsidP="001A20A0">
      <w:pPr>
        <w:pStyle w:val="Corpodeltesto3"/>
        <w:tabs>
          <w:tab w:val="left" w:pos="567"/>
          <w:tab w:val="left" w:pos="709"/>
        </w:tabs>
        <w:spacing w:after="0"/>
        <w:ind w:left="142" w:right="-380"/>
        <w:rPr>
          <w:rFonts w:ascii="Times New Roman" w:hAnsi="Times New Roman"/>
          <w:b/>
          <w:lang w:val="en-US"/>
        </w:rPr>
      </w:pPr>
    </w:p>
    <w:p w:rsidR="00596ECA" w:rsidRPr="00596ECA" w:rsidRDefault="00596ECA" w:rsidP="001A20A0">
      <w:pPr>
        <w:pStyle w:val="Corpodeltesto3"/>
        <w:tabs>
          <w:tab w:val="left" w:pos="284"/>
          <w:tab w:val="left" w:pos="567"/>
          <w:tab w:val="left" w:pos="709"/>
        </w:tabs>
        <w:spacing w:after="0"/>
        <w:ind w:left="142" w:right="-380"/>
        <w:rPr>
          <w:rFonts w:ascii="Times New Roman" w:hAnsi="Times New Roman"/>
        </w:rPr>
      </w:pPr>
      <w:r w:rsidRPr="00596ECA">
        <w:rPr>
          <w:rFonts w:ascii="Times New Roman" w:hAnsi="Times New Roman"/>
          <w:b/>
        </w:rPr>
        <w:t>Cammarota G</w:t>
      </w:r>
      <w:r w:rsidRPr="00596ECA">
        <w:rPr>
          <w:rFonts w:ascii="Times New Roman" w:hAnsi="Times New Roman"/>
        </w:rPr>
        <w:t>, Martino A, Pirozzi G, Cianci R, Cuoco L, Cremonini F, Ometti V, Montalto M, Vecchio FM, Gasbarrini A, Gasbarrini G. Direct visualisation of intestinal villi by high-resolution, high-magnification upper GI endoscopy. A validation study. GASTROINTESTINAL ENDO</w:t>
      </w:r>
      <w:r w:rsidR="008F59CF">
        <w:rPr>
          <w:rFonts w:ascii="Times New Roman" w:hAnsi="Times New Roman"/>
        </w:rPr>
        <w:t xml:space="preserve">SCOPY 2004;60(5):732-8. </w:t>
      </w:r>
    </w:p>
    <w:p w:rsidR="00596ECA" w:rsidRPr="00596ECA" w:rsidRDefault="00596ECA" w:rsidP="001A20A0">
      <w:pPr>
        <w:pStyle w:val="Corpodeltesto3"/>
        <w:tabs>
          <w:tab w:val="left" w:pos="284"/>
          <w:tab w:val="left" w:pos="567"/>
          <w:tab w:val="left" w:pos="709"/>
        </w:tabs>
        <w:spacing w:after="0"/>
        <w:ind w:left="142" w:right="-380"/>
        <w:rPr>
          <w:rFonts w:ascii="Times New Roman" w:hAnsi="Times New Roman"/>
          <w:b/>
          <w:bCs/>
        </w:rPr>
      </w:pPr>
    </w:p>
    <w:p w:rsidR="00596ECA" w:rsidRPr="00170F1A" w:rsidRDefault="00596ECA" w:rsidP="001A20A0">
      <w:pPr>
        <w:widowControl/>
        <w:tabs>
          <w:tab w:val="left" w:pos="0"/>
          <w:tab w:val="left" w:pos="142"/>
          <w:tab w:val="left" w:pos="284"/>
          <w:tab w:val="left" w:pos="709"/>
          <w:tab w:val="left" w:pos="993"/>
        </w:tabs>
        <w:ind w:left="142" w:right="-380"/>
        <w:rPr>
          <w:sz w:val="22"/>
          <w:lang w:val="en-US"/>
        </w:rPr>
      </w:pPr>
      <w:r w:rsidRPr="00596ECA">
        <w:rPr>
          <w:b/>
        </w:rPr>
        <w:t>Cammarota G</w:t>
      </w:r>
      <w:r w:rsidRPr="00596ECA">
        <w:t xml:space="preserve">, Certo M. Images in clinical medicine. </w:t>
      </w:r>
      <w:r w:rsidRPr="00596ECA">
        <w:rPr>
          <w:lang w:val="en-US"/>
        </w:rPr>
        <w:t>Corkscrew esophagus. The NEW ENGLAND JOURNAL of MEDICINE 2005</w:t>
      </w:r>
      <w:proofErr w:type="gramStart"/>
      <w:r w:rsidRPr="00596ECA">
        <w:rPr>
          <w:lang w:val="en-US"/>
        </w:rPr>
        <w:t>;352</w:t>
      </w:r>
      <w:proofErr w:type="gramEnd"/>
      <w:r w:rsidRPr="00596ECA">
        <w:rPr>
          <w:lang w:val="en-US"/>
        </w:rPr>
        <w:t xml:space="preserve">(8):816. </w:t>
      </w:r>
    </w:p>
    <w:p w:rsidR="00596ECA" w:rsidRPr="00170F1A" w:rsidRDefault="00596ECA" w:rsidP="001A20A0">
      <w:pPr>
        <w:tabs>
          <w:tab w:val="left" w:pos="0"/>
          <w:tab w:val="left" w:pos="142"/>
          <w:tab w:val="left" w:pos="284"/>
          <w:tab w:val="left" w:pos="709"/>
          <w:tab w:val="left" w:pos="993"/>
        </w:tabs>
        <w:ind w:left="142" w:right="-380"/>
        <w:rPr>
          <w:sz w:val="22"/>
          <w:lang w:val="en-US"/>
        </w:rPr>
      </w:pPr>
    </w:p>
    <w:p w:rsidR="00596ECA" w:rsidRPr="00596ECA" w:rsidRDefault="00596ECA" w:rsidP="001A20A0">
      <w:pPr>
        <w:pStyle w:val="Corpodeltesto3"/>
        <w:tabs>
          <w:tab w:val="left" w:pos="0"/>
          <w:tab w:val="left" w:pos="142"/>
          <w:tab w:val="left" w:pos="284"/>
          <w:tab w:val="left" w:pos="709"/>
          <w:tab w:val="left" w:pos="993"/>
        </w:tabs>
        <w:spacing w:after="0"/>
        <w:ind w:left="142" w:right="-380"/>
        <w:rPr>
          <w:rFonts w:ascii="Times New Roman" w:hAnsi="Times New Roman"/>
        </w:rPr>
      </w:pPr>
      <w:r w:rsidRPr="00170F1A">
        <w:rPr>
          <w:rFonts w:ascii="Times New Roman" w:hAnsi="Times New Roman"/>
          <w:b/>
          <w:lang w:val="en-US"/>
        </w:rPr>
        <w:t>Cammarota G</w:t>
      </w:r>
      <w:r w:rsidRPr="00170F1A">
        <w:rPr>
          <w:rFonts w:ascii="Times New Roman" w:hAnsi="Times New Roman"/>
          <w:lang w:val="en-US"/>
        </w:rPr>
        <w:t xml:space="preserve">, Martino A, Di Caro S, Cianci R, Lecca PG, Vecchio FM, Gasbarrini G. High-resolution magnifying upper endoscopy in a patient with patchy celiac disease. </w:t>
      </w:r>
      <w:r w:rsidRPr="00596ECA">
        <w:rPr>
          <w:rFonts w:ascii="Times New Roman" w:hAnsi="Times New Roman"/>
        </w:rPr>
        <w:t xml:space="preserve">DIGESTIVE DISEASES AND SCIENCES </w:t>
      </w:r>
      <w:r w:rsidR="008F59CF">
        <w:rPr>
          <w:rFonts w:ascii="Times New Roman" w:hAnsi="Times New Roman"/>
        </w:rPr>
        <w:t xml:space="preserve">2005; 50(3):601-604. </w:t>
      </w:r>
    </w:p>
    <w:p w:rsidR="00596ECA" w:rsidRPr="00596ECA" w:rsidRDefault="00596ECA" w:rsidP="001A20A0">
      <w:pPr>
        <w:pStyle w:val="Corpodeltesto3"/>
        <w:tabs>
          <w:tab w:val="left" w:pos="142"/>
          <w:tab w:val="left" w:pos="284"/>
          <w:tab w:val="left" w:pos="709"/>
        </w:tabs>
        <w:spacing w:after="0"/>
        <w:ind w:left="142" w:right="-380"/>
        <w:rPr>
          <w:rFonts w:ascii="Times New Roman" w:hAnsi="Times New Roman"/>
          <w:b/>
        </w:rPr>
      </w:pPr>
    </w:p>
    <w:p w:rsidR="00596ECA" w:rsidRPr="002F0DD6" w:rsidRDefault="00596ECA" w:rsidP="001A20A0">
      <w:pPr>
        <w:widowControl/>
        <w:tabs>
          <w:tab w:val="left" w:pos="142"/>
          <w:tab w:val="left" w:pos="284"/>
          <w:tab w:val="left" w:pos="709"/>
        </w:tabs>
        <w:ind w:left="142" w:right="-380"/>
        <w:rPr>
          <w:lang w:val="en-US"/>
        </w:rPr>
      </w:pPr>
      <w:r w:rsidRPr="00596ECA">
        <w:rPr>
          <w:b/>
          <w:lang w:val="en-US"/>
        </w:rPr>
        <w:t>Cammarota G</w:t>
      </w:r>
      <w:r w:rsidRPr="00596ECA">
        <w:rPr>
          <w:lang w:val="en-US"/>
        </w:rPr>
        <w:t xml:space="preserve">, Gasbarrini A, Gasbarrini G. No more biopsy in the diagnostic work-up of celiac disease. </w:t>
      </w:r>
      <w:r w:rsidRPr="002F0DD6">
        <w:rPr>
          <w:lang w:val="en-US"/>
        </w:rPr>
        <w:t>GASTROINTESTINAL ENDOSC</w:t>
      </w:r>
      <w:r w:rsidR="008F59CF" w:rsidRPr="002F0DD6">
        <w:rPr>
          <w:lang w:val="en-US"/>
        </w:rPr>
        <w:t>OPY 2005</w:t>
      </w:r>
      <w:proofErr w:type="gramStart"/>
      <w:r w:rsidR="008F59CF" w:rsidRPr="002F0DD6">
        <w:rPr>
          <w:lang w:val="en-US"/>
        </w:rPr>
        <w:t>;62</w:t>
      </w:r>
      <w:proofErr w:type="gramEnd"/>
      <w:r w:rsidR="008F59CF" w:rsidRPr="002F0DD6">
        <w:rPr>
          <w:lang w:val="en-US"/>
        </w:rPr>
        <w:t>(1):119-21.</w:t>
      </w:r>
    </w:p>
    <w:p w:rsidR="00596ECA" w:rsidRPr="002F0DD6" w:rsidRDefault="00596ECA" w:rsidP="001A20A0">
      <w:pPr>
        <w:tabs>
          <w:tab w:val="left" w:pos="142"/>
          <w:tab w:val="left" w:pos="284"/>
          <w:tab w:val="left" w:pos="709"/>
        </w:tabs>
        <w:ind w:left="142" w:right="-380"/>
        <w:rPr>
          <w:lang w:val="en-US"/>
        </w:rPr>
      </w:pPr>
    </w:p>
    <w:p w:rsidR="00596ECA" w:rsidRPr="002F0DD6" w:rsidRDefault="00596ECA" w:rsidP="001A20A0">
      <w:pPr>
        <w:pStyle w:val="Corpodeltesto3"/>
        <w:tabs>
          <w:tab w:val="left" w:pos="142"/>
          <w:tab w:val="left" w:pos="709"/>
        </w:tabs>
        <w:spacing w:after="0"/>
        <w:ind w:left="142" w:right="-380"/>
        <w:rPr>
          <w:sz w:val="22"/>
          <w:u w:val="single"/>
          <w:lang w:val="en-US"/>
        </w:rPr>
      </w:pPr>
      <w:r w:rsidRPr="00596ECA">
        <w:rPr>
          <w:rFonts w:ascii="Times New Roman" w:hAnsi="Times New Roman"/>
          <w:b/>
          <w:lang w:val="en-US"/>
        </w:rPr>
        <w:t>Cammarota G</w:t>
      </w:r>
      <w:r w:rsidRPr="00596ECA">
        <w:rPr>
          <w:rFonts w:ascii="Times New Roman" w:hAnsi="Times New Roman"/>
          <w:lang w:val="en-US"/>
        </w:rPr>
        <w:t xml:space="preserve">, Cianci R, Gasbarrini G. High-resolution magnifying video-endoscopy in primary intestinal lymphangiectasia: a new role for endoscopy? </w:t>
      </w:r>
      <w:r w:rsidRPr="002F0DD6">
        <w:rPr>
          <w:rFonts w:ascii="Times New Roman" w:hAnsi="Times New Roman"/>
          <w:lang w:val="en-US"/>
        </w:rPr>
        <w:t xml:space="preserve">ENDOSCOPY 2005;37(6):607. </w:t>
      </w:r>
    </w:p>
    <w:p w:rsidR="00596ECA" w:rsidRPr="002F0DD6" w:rsidRDefault="00596ECA" w:rsidP="001A20A0">
      <w:pPr>
        <w:pStyle w:val="Corpodeltesto3"/>
        <w:tabs>
          <w:tab w:val="left" w:pos="142"/>
          <w:tab w:val="left" w:pos="709"/>
        </w:tabs>
        <w:spacing w:after="0"/>
        <w:ind w:left="142" w:right="-380"/>
        <w:rPr>
          <w:sz w:val="22"/>
          <w:u w:val="single"/>
          <w:lang w:val="en-US"/>
        </w:rPr>
      </w:pPr>
    </w:p>
    <w:p w:rsidR="00596ECA" w:rsidRPr="00596ECA" w:rsidRDefault="00596ECA" w:rsidP="001A20A0">
      <w:pPr>
        <w:pStyle w:val="Corpodeltesto3"/>
        <w:tabs>
          <w:tab w:val="left" w:pos="142"/>
          <w:tab w:val="left" w:pos="709"/>
        </w:tabs>
        <w:spacing w:after="0"/>
        <w:ind w:left="142" w:right="-380"/>
        <w:rPr>
          <w:rFonts w:ascii="Times New Roman" w:hAnsi="Times New Roman"/>
        </w:rPr>
      </w:pPr>
      <w:r w:rsidRPr="00596ECA">
        <w:rPr>
          <w:rFonts w:ascii="Times New Roman" w:hAnsi="Times New Roman"/>
          <w:b/>
        </w:rPr>
        <w:t>Cammarota G</w:t>
      </w:r>
      <w:r w:rsidRPr="00596ECA">
        <w:rPr>
          <w:rFonts w:ascii="Times New Roman" w:hAnsi="Times New Roman"/>
        </w:rPr>
        <w:t>,  Fedeli P,  Bianchi A, Cianci R, Martino A,  Fedeli G,  Gasbarrini G. Regression of EI</w:t>
      </w:r>
      <w:r w:rsidRPr="00596ECA">
        <w:rPr>
          <w:rFonts w:ascii="Times New Roman" w:hAnsi="Times New Roman"/>
          <w:vertAlign w:val="subscript"/>
        </w:rPr>
        <w:t>2</w:t>
      </w:r>
      <w:r w:rsidRPr="00596ECA">
        <w:rPr>
          <w:rFonts w:ascii="Times New Roman" w:hAnsi="Times New Roman"/>
        </w:rPr>
        <w:t xml:space="preserve">-stage low-grade gastric MALT-Lymphoma after H pylori eradication. HEPATOGASTROENTEROLOGY 2005; 52(63):975-7. </w:t>
      </w:r>
    </w:p>
    <w:p w:rsidR="00596ECA" w:rsidRPr="00596ECA" w:rsidRDefault="00596ECA" w:rsidP="001A20A0">
      <w:pPr>
        <w:pStyle w:val="Corpodeltesto3"/>
        <w:tabs>
          <w:tab w:val="left" w:pos="142"/>
          <w:tab w:val="left" w:pos="709"/>
        </w:tabs>
        <w:spacing w:after="0"/>
        <w:ind w:left="142" w:right="-380"/>
        <w:rPr>
          <w:rFonts w:ascii="Times New Roman" w:hAnsi="Times New Roman"/>
        </w:rPr>
      </w:pPr>
    </w:p>
    <w:p w:rsidR="00596ECA" w:rsidRPr="00596ECA" w:rsidRDefault="00596ECA" w:rsidP="001A20A0">
      <w:pPr>
        <w:pStyle w:val="Corpodeltesto3"/>
        <w:tabs>
          <w:tab w:val="left" w:pos="142"/>
          <w:tab w:val="left" w:pos="709"/>
        </w:tabs>
        <w:spacing w:after="0"/>
        <w:ind w:left="142" w:right="-380"/>
        <w:rPr>
          <w:rFonts w:ascii="Times New Roman" w:hAnsi="Times New Roman"/>
        </w:rPr>
      </w:pPr>
      <w:r w:rsidRPr="002F0DD6">
        <w:rPr>
          <w:rFonts w:ascii="Times New Roman" w:hAnsi="Times New Roman"/>
          <w:b/>
        </w:rPr>
        <w:t>Cammarota G</w:t>
      </w:r>
      <w:r w:rsidRPr="002F0DD6">
        <w:rPr>
          <w:rFonts w:ascii="Times New Roman" w:hAnsi="Times New Roman"/>
        </w:rPr>
        <w:t xml:space="preserve">, Cesaro P, Martino A, Zuccalà G, Cianci R, Nista E, Larocca LM, Vecchio FM, Gasbarrini A, Gasbarrini G. High accuracy and cost-effectiveness of a biopsy-avoiding endoscopic approach in diagnosing coeliac disease. </w:t>
      </w:r>
      <w:r w:rsidRPr="00596ECA">
        <w:rPr>
          <w:rFonts w:ascii="Times New Roman" w:hAnsi="Times New Roman"/>
        </w:rPr>
        <w:t>ALIMENTARY PHARMACOLOGY AND THERAPEUTICS 2006; 23(1):61-69</w:t>
      </w:r>
      <w:r w:rsidR="00E26B7D">
        <w:rPr>
          <w:rFonts w:ascii="Times New Roman" w:hAnsi="Times New Roman"/>
        </w:rPr>
        <w:t>.</w:t>
      </w:r>
      <w:r w:rsidRPr="00596ECA">
        <w:rPr>
          <w:rFonts w:ascii="Times New Roman" w:hAnsi="Times New Roman"/>
          <w:color w:val="000000"/>
        </w:rPr>
        <w:t xml:space="preserve"> </w:t>
      </w:r>
    </w:p>
    <w:p w:rsidR="00596ECA" w:rsidRPr="00596ECA" w:rsidRDefault="00596ECA" w:rsidP="001A20A0">
      <w:pPr>
        <w:pStyle w:val="Corpodeltesto3"/>
        <w:tabs>
          <w:tab w:val="left" w:pos="142"/>
          <w:tab w:val="left" w:pos="709"/>
        </w:tabs>
        <w:spacing w:after="0"/>
        <w:ind w:left="142" w:right="-380"/>
        <w:rPr>
          <w:rFonts w:ascii="Times New Roman" w:hAnsi="Times New Roman"/>
        </w:rPr>
      </w:pPr>
    </w:p>
    <w:p w:rsidR="00596ECA" w:rsidRPr="00596ECA" w:rsidRDefault="00596ECA" w:rsidP="001A20A0">
      <w:pPr>
        <w:pStyle w:val="Corpodeltesto3"/>
        <w:tabs>
          <w:tab w:val="left" w:pos="142"/>
          <w:tab w:val="left" w:pos="709"/>
        </w:tabs>
        <w:spacing w:after="0"/>
        <w:ind w:left="142" w:right="-380"/>
        <w:rPr>
          <w:rFonts w:ascii="Times New Roman" w:hAnsi="Times New Roman"/>
          <w:color w:val="000000"/>
        </w:rPr>
      </w:pPr>
      <w:r w:rsidRPr="00596ECA">
        <w:rPr>
          <w:rFonts w:ascii="Times New Roman" w:hAnsi="Times New Roman"/>
          <w:b/>
          <w:lang w:val="en-US"/>
        </w:rPr>
        <w:t>Cammarota G</w:t>
      </w:r>
      <w:r w:rsidRPr="00596ECA">
        <w:rPr>
          <w:rFonts w:ascii="Times New Roman" w:hAnsi="Times New Roman"/>
          <w:lang w:val="en-US"/>
        </w:rPr>
        <w:t xml:space="preserve">, Galli J, Agostino S, De Corso E, Rigante M, Cianci R, Cesaro P, Nista EC, Candelli M, Gasbarrini A, Gasbarrini G. Accuracy of laryngeal examination </w:t>
      </w:r>
      <w:r w:rsidRPr="00596ECA">
        <w:rPr>
          <w:rFonts w:ascii="Times New Roman" w:hAnsi="Times New Roman"/>
          <w:color w:val="000000"/>
          <w:lang w:val="en-US"/>
        </w:rPr>
        <w:t xml:space="preserve">during upper gastrointestinal endoscopy for pre-malignancy screening: prospective study in patients with and without reflux symptoms. </w:t>
      </w:r>
      <w:r w:rsidRPr="00596ECA">
        <w:rPr>
          <w:rFonts w:ascii="Times New Roman" w:hAnsi="Times New Roman"/>
          <w:color w:val="000000"/>
        </w:rPr>
        <w:t>ENDOSCOPY 2006; 38:376-381</w:t>
      </w:r>
      <w:r w:rsidR="00E26B7D">
        <w:rPr>
          <w:rFonts w:ascii="Times New Roman" w:hAnsi="Times New Roman"/>
          <w:color w:val="000000"/>
        </w:rPr>
        <w:t>.</w:t>
      </w:r>
      <w:r w:rsidRPr="00596ECA">
        <w:rPr>
          <w:rFonts w:ascii="Times New Roman" w:hAnsi="Times New Roman"/>
          <w:color w:val="000000"/>
        </w:rPr>
        <w:t xml:space="preserve"> </w:t>
      </w:r>
    </w:p>
    <w:p w:rsidR="00596ECA" w:rsidRPr="00596ECA" w:rsidRDefault="00596ECA" w:rsidP="001A20A0">
      <w:pPr>
        <w:pStyle w:val="Corpodeltesto3"/>
        <w:tabs>
          <w:tab w:val="left" w:pos="142"/>
          <w:tab w:val="left" w:pos="709"/>
        </w:tabs>
        <w:spacing w:after="0"/>
        <w:ind w:left="142" w:right="-380"/>
        <w:rPr>
          <w:rFonts w:ascii="Times New Roman" w:hAnsi="Times New Roman"/>
          <w:color w:val="000000"/>
        </w:rPr>
      </w:pPr>
    </w:p>
    <w:p w:rsidR="00596ECA" w:rsidRPr="00596ECA" w:rsidRDefault="00596ECA" w:rsidP="001A20A0">
      <w:pPr>
        <w:pStyle w:val="Corpodeltesto3"/>
        <w:tabs>
          <w:tab w:val="left" w:pos="142"/>
          <w:tab w:val="left" w:pos="709"/>
        </w:tabs>
        <w:spacing w:after="0"/>
        <w:ind w:left="142" w:right="-380"/>
        <w:rPr>
          <w:rFonts w:ascii="Times New Roman" w:hAnsi="Times New Roman"/>
        </w:rPr>
      </w:pPr>
      <w:r w:rsidRPr="00596ECA">
        <w:rPr>
          <w:rFonts w:ascii="Times New Roman" w:hAnsi="Times New Roman"/>
          <w:b/>
        </w:rPr>
        <w:t>Cammarota G,</w:t>
      </w:r>
      <w:r w:rsidRPr="00596ECA">
        <w:rPr>
          <w:rFonts w:ascii="Times New Roman" w:hAnsi="Times New Roman"/>
        </w:rPr>
        <w:t xml:space="preserve"> Schinzari G,  Larocca LM, Gasbarrini G,  Barone C. Duodenal metastasis from a primary angiosarcoma of the colon. GASTROINTESTINAL ENDOSCOPY 2006;63(2):330. </w:t>
      </w:r>
    </w:p>
    <w:p w:rsidR="00596ECA" w:rsidRPr="00596ECA" w:rsidRDefault="00596ECA" w:rsidP="001A20A0">
      <w:pPr>
        <w:pStyle w:val="Corpodeltesto3"/>
        <w:tabs>
          <w:tab w:val="left" w:pos="142"/>
          <w:tab w:val="left" w:pos="709"/>
        </w:tabs>
        <w:spacing w:after="0"/>
        <w:ind w:left="142" w:right="-380"/>
        <w:rPr>
          <w:rFonts w:ascii="Times New Roman" w:hAnsi="Times New Roman"/>
        </w:rPr>
      </w:pPr>
    </w:p>
    <w:p w:rsidR="00596ECA" w:rsidRPr="00596ECA" w:rsidRDefault="00596ECA" w:rsidP="001A20A0">
      <w:pPr>
        <w:widowControl/>
        <w:tabs>
          <w:tab w:val="left" w:pos="142"/>
          <w:tab w:val="left" w:pos="709"/>
        </w:tabs>
        <w:ind w:left="142" w:right="-380"/>
        <w:rPr>
          <w:u w:val="single"/>
        </w:rPr>
      </w:pPr>
      <w:r w:rsidRPr="00596ECA">
        <w:rPr>
          <w:b/>
          <w:lang w:val="en-US"/>
        </w:rPr>
        <w:t>Cammarota G</w:t>
      </w:r>
      <w:r w:rsidRPr="00596ECA">
        <w:rPr>
          <w:lang w:val="en-US"/>
        </w:rPr>
        <w:t xml:space="preserve">, Agostino S, Rigante M, Cesaro P, Parrilla C, La Mura R, Gasbarrini G, Galli J. Preliminary laryngeal examination during magnifying upper gastrointestinal video endoscopy in two patients with reflux symptoms. </w:t>
      </w:r>
      <w:r w:rsidRPr="00596ECA">
        <w:t xml:space="preserve">ENDOSCOPY 2006;38(3):287. </w:t>
      </w:r>
    </w:p>
    <w:p w:rsidR="00596ECA" w:rsidRPr="00596ECA" w:rsidRDefault="00596ECA" w:rsidP="001A20A0">
      <w:pPr>
        <w:tabs>
          <w:tab w:val="left" w:pos="142"/>
          <w:tab w:val="left" w:pos="709"/>
        </w:tabs>
        <w:ind w:left="142" w:right="-380"/>
      </w:pPr>
    </w:p>
    <w:p w:rsidR="00596ECA" w:rsidRPr="00596ECA" w:rsidRDefault="00596ECA" w:rsidP="001A20A0">
      <w:pPr>
        <w:widowControl/>
        <w:tabs>
          <w:tab w:val="left" w:pos="142"/>
          <w:tab w:val="left" w:pos="709"/>
        </w:tabs>
        <w:ind w:left="142" w:right="-380"/>
      </w:pPr>
      <w:r w:rsidRPr="00596ECA">
        <w:rPr>
          <w:b/>
        </w:rPr>
        <w:t>Cammarota G</w:t>
      </w:r>
      <w:r w:rsidRPr="00596ECA">
        <w:t>, Cesaro P, Gasbarrini G. A higher diagnosi profile is possibile for microscopic colitis. ALIMENTARY PHARMACOLOGY AND THERAPEUTICS 2006;24(3):561.</w:t>
      </w:r>
      <w:r w:rsidRPr="00596ECA">
        <w:rPr>
          <w:color w:val="000000"/>
        </w:rPr>
        <w:t xml:space="preserve"> </w:t>
      </w:r>
    </w:p>
    <w:p w:rsidR="00596ECA" w:rsidRPr="00596ECA" w:rsidRDefault="00596ECA" w:rsidP="001A20A0">
      <w:pPr>
        <w:tabs>
          <w:tab w:val="left" w:pos="142"/>
          <w:tab w:val="left" w:pos="709"/>
        </w:tabs>
        <w:ind w:left="142" w:right="-380"/>
      </w:pPr>
    </w:p>
    <w:p w:rsidR="00596ECA" w:rsidRPr="00AA563D" w:rsidRDefault="00596ECA" w:rsidP="001A20A0">
      <w:pPr>
        <w:widowControl/>
        <w:tabs>
          <w:tab w:val="left" w:pos="142"/>
          <w:tab w:val="left" w:pos="709"/>
        </w:tabs>
        <w:ind w:left="142" w:right="-380"/>
        <w:rPr>
          <w:lang w:val="en-US"/>
        </w:rPr>
      </w:pPr>
      <w:r w:rsidRPr="00596ECA">
        <w:rPr>
          <w:b/>
          <w:lang w:val="en-US"/>
        </w:rPr>
        <w:t>Cammarota G</w:t>
      </w:r>
      <w:r w:rsidRPr="00596ECA">
        <w:rPr>
          <w:lang w:val="en-US"/>
        </w:rPr>
        <w:t xml:space="preserve">, Cuoco L, Cesaro P, Santoro L, Cazzato A, Montalto M, La Mura R, Larocca LM, Vecchio FM, Salvagnini M, Gasbarrini G. A highly accurate method for monitoring histological recovery in patients with celiac disease on a gluten-free diet using an endoscopic approach that avoids the need for biopsy: a double-center study. </w:t>
      </w:r>
      <w:r w:rsidRPr="00AA563D">
        <w:rPr>
          <w:lang w:val="en-US"/>
        </w:rPr>
        <w:t xml:space="preserve">ENDOSCOPY 2007; 39:46-51. </w:t>
      </w:r>
    </w:p>
    <w:p w:rsidR="00596ECA" w:rsidRPr="00AA563D" w:rsidRDefault="00596ECA" w:rsidP="001A20A0">
      <w:pPr>
        <w:tabs>
          <w:tab w:val="left" w:pos="142"/>
          <w:tab w:val="left" w:pos="709"/>
        </w:tabs>
        <w:ind w:left="142" w:right="-380"/>
        <w:rPr>
          <w:lang w:val="en-US"/>
        </w:rPr>
      </w:pPr>
    </w:p>
    <w:p w:rsidR="00596ECA" w:rsidRPr="00596ECA" w:rsidRDefault="00596ECA" w:rsidP="001A20A0">
      <w:pPr>
        <w:widowControl/>
        <w:tabs>
          <w:tab w:val="left" w:pos="142"/>
          <w:tab w:val="left" w:pos="709"/>
        </w:tabs>
        <w:ind w:left="142" w:right="-380"/>
      </w:pPr>
      <w:r w:rsidRPr="00596ECA">
        <w:rPr>
          <w:b/>
        </w:rPr>
        <w:t xml:space="preserve">Cammarota G, </w:t>
      </w:r>
      <w:r w:rsidRPr="00596ECA">
        <w:t xml:space="preserve">Masala G, Cianci R, Palli D, Capaccio P, Schindler A, Cuoco L, Galli J, Ierardi </w:t>
      </w:r>
      <w:proofErr w:type="gramStart"/>
      <w:r w:rsidRPr="00596ECA">
        <w:t>E,  Cannizzaro</w:t>
      </w:r>
      <w:proofErr w:type="gramEnd"/>
      <w:r w:rsidRPr="00596ECA">
        <w:t xml:space="preserve"> O, Caselli M, Dore MP, Bendinelli B, Gasbarrini G. Reflux symptoms in professional opera choristers. GASTROENTEROLOGY 2007;132(3):890-8. </w:t>
      </w:r>
      <w:r w:rsidRPr="00596ECA">
        <w:rPr>
          <w:u w:val="single"/>
        </w:rPr>
        <w:t>+ COVER</w:t>
      </w:r>
      <w:r w:rsidRPr="00596ECA">
        <w:t xml:space="preserve"> </w:t>
      </w:r>
    </w:p>
    <w:p w:rsidR="00596ECA" w:rsidRPr="00596ECA" w:rsidRDefault="00596ECA" w:rsidP="001A20A0">
      <w:pPr>
        <w:tabs>
          <w:tab w:val="left" w:pos="142"/>
          <w:tab w:val="left" w:pos="709"/>
        </w:tabs>
        <w:ind w:left="142" w:right="-380"/>
      </w:pPr>
    </w:p>
    <w:p w:rsidR="00596ECA" w:rsidRPr="002F0DD6" w:rsidRDefault="00596ECA" w:rsidP="001A20A0">
      <w:pPr>
        <w:widowControl/>
        <w:tabs>
          <w:tab w:val="left" w:pos="142"/>
          <w:tab w:val="left" w:pos="709"/>
        </w:tabs>
        <w:ind w:left="142" w:right="-380"/>
        <w:rPr>
          <w:lang w:val="en-US"/>
        </w:rPr>
      </w:pPr>
      <w:r w:rsidRPr="00596ECA">
        <w:rPr>
          <w:b/>
          <w:lang w:val="en-US"/>
        </w:rPr>
        <w:t>Cammarota G</w:t>
      </w:r>
      <w:r w:rsidRPr="00596ECA">
        <w:rPr>
          <w:lang w:val="en-US"/>
        </w:rPr>
        <w:t xml:space="preserve">, Cuoco L, </w:t>
      </w:r>
      <w:proofErr w:type="gramStart"/>
      <w:r w:rsidRPr="00596ECA">
        <w:rPr>
          <w:lang w:val="en-US"/>
        </w:rPr>
        <w:t>Gasbarrini</w:t>
      </w:r>
      <w:proofErr w:type="gramEnd"/>
      <w:r w:rsidRPr="00596ECA">
        <w:rPr>
          <w:lang w:val="en-US"/>
        </w:rPr>
        <w:t xml:space="preserve"> G. Reply to K. Rostami et al.: </w:t>
      </w:r>
      <w:r w:rsidRPr="00596ECA">
        <w:rPr>
          <w:bCs/>
          <w:lang w:val="en-US"/>
        </w:rPr>
        <w:t xml:space="preserve">Endoscopy and small-bowel biopsy in celiac disease: indications and implications. </w:t>
      </w:r>
      <w:r w:rsidRPr="002F0DD6">
        <w:rPr>
          <w:lang w:val="en-US"/>
        </w:rPr>
        <w:t>ENDOSCOPY 2007</w:t>
      </w:r>
      <w:proofErr w:type="gramStart"/>
      <w:r w:rsidRPr="002F0DD6">
        <w:rPr>
          <w:lang w:val="en-US"/>
        </w:rPr>
        <w:t>;39:574</w:t>
      </w:r>
      <w:proofErr w:type="gramEnd"/>
      <w:r w:rsidRPr="002F0DD6">
        <w:rPr>
          <w:lang w:val="en-US"/>
        </w:rPr>
        <w:t xml:space="preserve">. </w:t>
      </w:r>
    </w:p>
    <w:p w:rsidR="00596ECA" w:rsidRPr="002F0DD6" w:rsidRDefault="00596ECA" w:rsidP="001A20A0">
      <w:pPr>
        <w:tabs>
          <w:tab w:val="left" w:pos="142"/>
          <w:tab w:val="left" w:pos="709"/>
        </w:tabs>
        <w:ind w:left="142" w:right="-380"/>
        <w:rPr>
          <w:lang w:val="en-US"/>
        </w:rPr>
      </w:pPr>
    </w:p>
    <w:p w:rsidR="00596ECA" w:rsidRPr="00596ECA" w:rsidRDefault="00596ECA" w:rsidP="001A20A0">
      <w:pPr>
        <w:widowControl/>
        <w:tabs>
          <w:tab w:val="left" w:pos="142"/>
          <w:tab w:val="left" w:pos="709"/>
        </w:tabs>
        <w:ind w:left="142" w:right="-380"/>
      </w:pPr>
      <w:r w:rsidRPr="00596ECA">
        <w:rPr>
          <w:b/>
        </w:rPr>
        <w:t xml:space="preserve">Cammarota </w:t>
      </w:r>
      <w:proofErr w:type="gramStart"/>
      <w:r w:rsidRPr="00596ECA">
        <w:rPr>
          <w:b/>
        </w:rPr>
        <w:t>G</w:t>
      </w:r>
      <w:r w:rsidRPr="00596ECA">
        <w:t>,  Cesaro</w:t>
      </w:r>
      <w:proofErr w:type="gramEnd"/>
      <w:r w:rsidRPr="00596ECA">
        <w:t xml:space="preserve"> P,  La Mura  R,  Martino A,  Cazzato, A. Miele L,  Lupascu A,  Vecchio FM,  Larocca LM,  Grieco A,  Gasbarrini G. </w:t>
      </w:r>
      <w:r w:rsidRPr="00596ECA">
        <w:rPr>
          <w:bCs/>
        </w:rPr>
        <w:t>Role of the “immersion technique” in diagnosing celiac disease with villous atrophy limited to the duodenal bulb.</w:t>
      </w:r>
      <w:r w:rsidRPr="00596ECA">
        <w:t xml:space="preserve"> THE JOURNAL OF CLINICAL GASTROENTEROLOGY 2007;41(6):571-575. </w:t>
      </w:r>
    </w:p>
    <w:p w:rsidR="00596ECA" w:rsidRPr="00596ECA" w:rsidRDefault="00596ECA" w:rsidP="001A20A0">
      <w:pPr>
        <w:tabs>
          <w:tab w:val="left" w:pos="142"/>
          <w:tab w:val="left" w:pos="709"/>
        </w:tabs>
        <w:ind w:left="142" w:right="-380"/>
      </w:pPr>
    </w:p>
    <w:p w:rsidR="00596ECA" w:rsidRPr="00596ECA" w:rsidRDefault="00596ECA" w:rsidP="001A20A0">
      <w:pPr>
        <w:widowControl/>
        <w:tabs>
          <w:tab w:val="left" w:pos="142"/>
          <w:tab w:val="left" w:pos="709"/>
        </w:tabs>
        <w:ind w:left="142" w:right="-380"/>
      </w:pPr>
      <w:r w:rsidRPr="00596ECA">
        <w:rPr>
          <w:b/>
        </w:rPr>
        <w:t>Cammarota G</w:t>
      </w:r>
      <w:r w:rsidRPr="00596ECA">
        <w:t xml:space="preserve">, Cesaro P, Cazzato A, Fedeli P, Riccioni ME, Sparano L, Vitale G, Costamagna G, Gasbarrini G, Larocca LM. </w:t>
      </w:r>
      <w:r w:rsidRPr="00596ECA">
        <w:rPr>
          <w:lang w:val="en-US"/>
        </w:rPr>
        <w:t xml:space="preserve">Hydrogen peroxide-related colitis (previously known as “pseudolipomatosis”): report of an epidemic pattern of case series. </w:t>
      </w:r>
      <w:r w:rsidRPr="00596ECA">
        <w:t xml:space="preserve">ENDOSCOPY </w:t>
      </w:r>
      <w:proofErr w:type="gramStart"/>
      <w:r w:rsidRPr="00596ECA">
        <w:t>2007;39:916</w:t>
      </w:r>
      <w:proofErr w:type="gramEnd"/>
      <w:r w:rsidRPr="00596ECA">
        <w:t xml:space="preserve">-919. </w:t>
      </w:r>
    </w:p>
    <w:p w:rsidR="00596ECA" w:rsidRPr="00596ECA" w:rsidRDefault="00596ECA" w:rsidP="001A20A0">
      <w:pPr>
        <w:tabs>
          <w:tab w:val="left" w:pos="142"/>
          <w:tab w:val="left" w:pos="709"/>
        </w:tabs>
        <w:ind w:left="142" w:right="-380"/>
      </w:pPr>
    </w:p>
    <w:p w:rsidR="00596ECA" w:rsidRPr="00F773AD" w:rsidRDefault="00596ECA" w:rsidP="001A20A0">
      <w:pPr>
        <w:widowControl/>
        <w:tabs>
          <w:tab w:val="left" w:pos="142"/>
          <w:tab w:val="left" w:pos="709"/>
        </w:tabs>
        <w:ind w:left="142" w:right="-380"/>
        <w:rPr>
          <w:sz w:val="22"/>
          <w:u w:val="single"/>
          <w:lang w:val="en-US"/>
        </w:rPr>
      </w:pPr>
      <w:r w:rsidRPr="00AA563D">
        <w:rPr>
          <w:b/>
          <w:lang w:val="en-US"/>
        </w:rPr>
        <w:t>CammarotaG</w:t>
      </w:r>
      <w:r w:rsidRPr="00AA563D">
        <w:rPr>
          <w:lang w:val="en-US"/>
        </w:rPr>
        <w:t xml:space="preserve">, Larocca LM. Reply to </w:t>
      </w:r>
      <w:proofErr w:type="gramStart"/>
      <w:r w:rsidRPr="00AA563D">
        <w:rPr>
          <w:lang w:val="en-US"/>
        </w:rPr>
        <w:t>dr</w:t>
      </w:r>
      <w:proofErr w:type="gramEnd"/>
      <w:r w:rsidRPr="00AA563D">
        <w:rPr>
          <w:lang w:val="en-US"/>
        </w:rPr>
        <w:t xml:space="preserve">. Souza et al: Intestinal pseudolipomatosis and electrolyzed acid water for disinfecting colonscope. </w:t>
      </w:r>
      <w:r w:rsidRPr="00F773AD">
        <w:rPr>
          <w:lang w:val="en-US"/>
        </w:rPr>
        <w:t>ENDOSCOPY 2008</w:t>
      </w:r>
      <w:proofErr w:type="gramStart"/>
      <w:r w:rsidRPr="00F773AD">
        <w:rPr>
          <w:lang w:val="en-US"/>
        </w:rPr>
        <w:t>;40:621</w:t>
      </w:r>
      <w:proofErr w:type="gramEnd"/>
      <w:r w:rsidRPr="00F773AD">
        <w:rPr>
          <w:lang w:val="en-US"/>
        </w:rPr>
        <w:t xml:space="preserve">. </w:t>
      </w:r>
    </w:p>
    <w:p w:rsidR="00AA563D" w:rsidRPr="00F773AD" w:rsidRDefault="00AA563D" w:rsidP="001A20A0">
      <w:pPr>
        <w:widowControl/>
        <w:tabs>
          <w:tab w:val="left" w:pos="142"/>
          <w:tab w:val="left" w:pos="709"/>
        </w:tabs>
        <w:ind w:left="142" w:right="-380"/>
        <w:rPr>
          <w:sz w:val="22"/>
          <w:u w:val="single"/>
          <w:lang w:val="en-US"/>
        </w:rPr>
      </w:pPr>
    </w:p>
    <w:p w:rsidR="00596ECA" w:rsidRPr="00F773AD" w:rsidRDefault="00596ECA" w:rsidP="001A20A0">
      <w:pPr>
        <w:widowControl/>
        <w:tabs>
          <w:tab w:val="left" w:pos="142"/>
          <w:tab w:val="left" w:pos="709"/>
        </w:tabs>
        <w:ind w:left="142" w:right="-380"/>
        <w:rPr>
          <w:lang w:val="en-US"/>
        </w:rPr>
      </w:pPr>
      <w:r w:rsidRPr="00596ECA">
        <w:rPr>
          <w:b/>
          <w:lang w:val="en-US"/>
        </w:rPr>
        <w:t xml:space="preserve"> Cammarota G</w:t>
      </w:r>
      <w:r w:rsidRPr="00596ECA">
        <w:rPr>
          <w:lang w:val="en-US"/>
        </w:rPr>
        <w:t xml:space="preserve">, Gasbarrini G. Reply to dr. Marchese M et </w:t>
      </w:r>
      <w:proofErr w:type="gramStart"/>
      <w:r w:rsidRPr="00596ECA">
        <w:rPr>
          <w:lang w:val="en-US"/>
        </w:rPr>
        <w:t>al :</w:t>
      </w:r>
      <w:proofErr w:type="gramEnd"/>
      <w:r w:rsidRPr="00596ECA">
        <w:rPr>
          <w:lang w:val="en-US"/>
        </w:rPr>
        <w:t xml:space="preserve"> Stress-related esophagopharyngeal reflux during warm-up exercises in a singer. </w:t>
      </w:r>
      <w:r w:rsidRPr="00F773AD">
        <w:rPr>
          <w:lang w:val="en-US"/>
        </w:rPr>
        <w:t>GASTROENTEROLOGY. 2008</w:t>
      </w:r>
      <w:proofErr w:type="gramStart"/>
      <w:r w:rsidRPr="00F773AD">
        <w:rPr>
          <w:lang w:val="en-US"/>
        </w:rPr>
        <w:t>;134</w:t>
      </w:r>
      <w:proofErr w:type="gramEnd"/>
      <w:r w:rsidRPr="00F773AD">
        <w:rPr>
          <w:lang w:val="en-US"/>
        </w:rPr>
        <w:t xml:space="preserve">(7):2193-2194. </w:t>
      </w:r>
    </w:p>
    <w:p w:rsidR="00596ECA" w:rsidRPr="00F773AD" w:rsidRDefault="00596ECA" w:rsidP="001A20A0">
      <w:pPr>
        <w:tabs>
          <w:tab w:val="left" w:pos="142"/>
          <w:tab w:val="left" w:pos="709"/>
        </w:tabs>
        <w:ind w:left="142" w:right="-380"/>
        <w:rPr>
          <w:lang w:val="en-US"/>
        </w:rPr>
      </w:pPr>
    </w:p>
    <w:p w:rsidR="00596ECA" w:rsidRPr="00AA563D" w:rsidRDefault="00596ECA" w:rsidP="001A20A0">
      <w:pPr>
        <w:widowControl/>
        <w:tabs>
          <w:tab w:val="left" w:pos="142"/>
          <w:tab w:val="left" w:pos="709"/>
        </w:tabs>
        <w:ind w:left="142" w:right="-380"/>
        <w:rPr>
          <w:lang w:val="en-US"/>
        </w:rPr>
      </w:pPr>
      <w:r w:rsidRPr="00596ECA">
        <w:rPr>
          <w:b/>
          <w:lang w:val="en-US"/>
        </w:rPr>
        <w:lastRenderedPageBreak/>
        <w:t>Cammarota G</w:t>
      </w:r>
      <w:r w:rsidRPr="00596ECA">
        <w:rPr>
          <w:lang w:val="en-US"/>
        </w:rPr>
        <w:t xml:space="preserve">, Cesaro P, Cazzato A, Fedeli P, Sparano L, Vecchio FM, Larocca LM, Gasbarrini G. Optimal band imaging system: a new tool for enhancing the duodenal villous pattern in celiac disease. </w:t>
      </w:r>
      <w:r w:rsidRPr="00AA563D">
        <w:rPr>
          <w:lang w:val="en-US"/>
        </w:rPr>
        <w:t>GASTROINTESTINAL ENDOSCOPY 2008</w:t>
      </w:r>
      <w:proofErr w:type="gramStart"/>
      <w:r w:rsidRPr="00AA563D">
        <w:rPr>
          <w:lang w:val="en-US"/>
        </w:rPr>
        <w:t>;68</w:t>
      </w:r>
      <w:proofErr w:type="gramEnd"/>
      <w:r w:rsidRPr="00AA563D">
        <w:rPr>
          <w:lang w:val="en-US"/>
        </w:rPr>
        <w:t xml:space="preserve">(2):352-357. </w:t>
      </w:r>
    </w:p>
    <w:p w:rsidR="00596ECA" w:rsidRPr="00AA563D" w:rsidRDefault="00596ECA" w:rsidP="001A20A0">
      <w:pPr>
        <w:tabs>
          <w:tab w:val="left" w:pos="142"/>
          <w:tab w:val="left" w:pos="709"/>
        </w:tabs>
        <w:ind w:left="142" w:right="-380"/>
        <w:rPr>
          <w:b/>
          <w:lang w:val="en-US"/>
        </w:rPr>
      </w:pPr>
    </w:p>
    <w:p w:rsidR="00596ECA" w:rsidRPr="002F0DD6" w:rsidRDefault="00596ECA" w:rsidP="001A20A0">
      <w:pPr>
        <w:widowControl/>
        <w:tabs>
          <w:tab w:val="left" w:pos="142"/>
          <w:tab w:val="left" w:pos="709"/>
        </w:tabs>
        <w:ind w:left="142" w:right="-380"/>
        <w:rPr>
          <w:lang w:val="en-US"/>
        </w:rPr>
      </w:pPr>
      <w:r w:rsidRPr="00596ECA">
        <w:rPr>
          <w:b/>
          <w:lang w:val="en-US"/>
        </w:rPr>
        <w:t>Cammarota G</w:t>
      </w:r>
      <w:r w:rsidRPr="00596ECA">
        <w:rPr>
          <w:lang w:val="en-US"/>
        </w:rPr>
        <w:t xml:space="preserve">, Fedeli P, Gasbarrini A. Emerging technologies in upper gastrointestinal endoscopy and celiac disease. </w:t>
      </w:r>
      <w:r w:rsidRPr="002F0DD6">
        <w:rPr>
          <w:lang w:val="en-US"/>
        </w:rPr>
        <w:t>NATURE CLINICAL PRACTICE GASTROENTEROLOGY &amp; HEPATOLOGY 2009</w:t>
      </w:r>
      <w:proofErr w:type="gramStart"/>
      <w:r w:rsidRPr="002F0DD6">
        <w:rPr>
          <w:lang w:val="en-US"/>
        </w:rPr>
        <w:t>;6</w:t>
      </w:r>
      <w:proofErr w:type="gramEnd"/>
      <w:r w:rsidRPr="002F0DD6">
        <w:rPr>
          <w:lang w:val="en-US"/>
        </w:rPr>
        <w:t xml:space="preserve">(1):47-56. </w:t>
      </w:r>
    </w:p>
    <w:p w:rsidR="00596ECA" w:rsidRPr="002F0DD6" w:rsidRDefault="00596ECA" w:rsidP="001A20A0">
      <w:pPr>
        <w:tabs>
          <w:tab w:val="left" w:pos="142"/>
          <w:tab w:val="left" w:pos="709"/>
        </w:tabs>
        <w:ind w:left="142" w:right="-380"/>
        <w:rPr>
          <w:lang w:val="en-US"/>
        </w:rPr>
      </w:pPr>
    </w:p>
    <w:p w:rsidR="00596ECA" w:rsidRPr="00596ECA" w:rsidRDefault="00596ECA" w:rsidP="001A20A0">
      <w:pPr>
        <w:widowControl/>
        <w:tabs>
          <w:tab w:val="left" w:pos="142"/>
          <w:tab w:val="left" w:pos="709"/>
        </w:tabs>
        <w:ind w:left="142" w:right="-380"/>
      </w:pPr>
      <w:r w:rsidRPr="00596ECA">
        <w:rPr>
          <w:b/>
          <w:lang w:val="en-US"/>
        </w:rPr>
        <w:t>Cammarota G</w:t>
      </w:r>
      <w:r w:rsidRPr="00596ECA">
        <w:rPr>
          <w:lang w:val="en-US"/>
        </w:rPr>
        <w:t xml:space="preserve">, Cesaro P, Cazzato A, Cianci R, Fedeli P, Ojetti V, Certo M, Sparano L, Giovannini S, Larocca LM, Vecchio FM, Gasbarrini G. The water immersion technique is easy to learn for routine use during EGD for duodenal villous evaluation: a single centre 2-year experience. </w:t>
      </w:r>
      <w:r w:rsidRPr="00596ECA">
        <w:t>THE JOURNAL OF CLINICAL GA</w:t>
      </w:r>
      <w:r w:rsidR="00AA563D">
        <w:t xml:space="preserve">STROENTEROLOGY </w:t>
      </w:r>
      <w:proofErr w:type="gramStart"/>
      <w:r w:rsidR="00AA563D">
        <w:t>2009;43:244</w:t>
      </w:r>
      <w:proofErr w:type="gramEnd"/>
      <w:r w:rsidR="00AA563D">
        <w:t>–248.</w:t>
      </w:r>
    </w:p>
    <w:p w:rsidR="00596ECA" w:rsidRPr="00596ECA" w:rsidRDefault="00596ECA" w:rsidP="001A20A0">
      <w:pPr>
        <w:tabs>
          <w:tab w:val="left" w:pos="142"/>
          <w:tab w:val="left" w:pos="709"/>
        </w:tabs>
        <w:ind w:left="142" w:right="-380"/>
      </w:pPr>
    </w:p>
    <w:p w:rsidR="00596ECA" w:rsidRPr="00170F1A" w:rsidRDefault="00596ECA" w:rsidP="001A20A0">
      <w:pPr>
        <w:widowControl/>
        <w:tabs>
          <w:tab w:val="left" w:pos="142"/>
          <w:tab w:val="left" w:pos="709"/>
        </w:tabs>
        <w:ind w:left="142" w:right="-380"/>
        <w:rPr>
          <w:lang w:val="en-US"/>
        </w:rPr>
      </w:pPr>
      <w:r w:rsidRPr="00596ECA">
        <w:rPr>
          <w:b/>
          <w:lang w:val="en-US"/>
        </w:rPr>
        <w:t>Cammarota G</w:t>
      </w:r>
      <w:r w:rsidRPr="00596ECA">
        <w:rPr>
          <w:lang w:val="en-US"/>
        </w:rPr>
        <w:t>, Piscaglia A. Free peritoneal gas accumulation due to pneumatosis coli following diagnostic gastrointestinal endoscopy. CLINICAL GASTROENTEROLOGY AND HEPATOLOGY 2009</w:t>
      </w:r>
      <w:proofErr w:type="gramStart"/>
      <w:r w:rsidRPr="00596ECA">
        <w:rPr>
          <w:lang w:val="en-US"/>
        </w:rPr>
        <w:t>;7</w:t>
      </w:r>
      <w:proofErr w:type="gramEnd"/>
      <w:r w:rsidRPr="00596ECA">
        <w:rPr>
          <w:lang w:val="en-US"/>
        </w:rPr>
        <w:t xml:space="preserve">(8):A18. </w:t>
      </w:r>
    </w:p>
    <w:p w:rsidR="00596ECA" w:rsidRPr="00170F1A" w:rsidRDefault="00596ECA" w:rsidP="001A20A0">
      <w:pPr>
        <w:tabs>
          <w:tab w:val="left" w:pos="142"/>
          <w:tab w:val="left" w:pos="709"/>
        </w:tabs>
        <w:ind w:left="142" w:right="-380"/>
        <w:rPr>
          <w:lang w:val="en-US"/>
        </w:rPr>
      </w:pPr>
    </w:p>
    <w:p w:rsidR="00596ECA" w:rsidRPr="002F0DD6" w:rsidRDefault="00596ECA" w:rsidP="001A20A0">
      <w:pPr>
        <w:widowControl/>
        <w:tabs>
          <w:tab w:val="left" w:pos="142"/>
          <w:tab w:val="left" w:pos="709"/>
        </w:tabs>
        <w:ind w:left="142" w:right="-380"/>
        <w:rPr>
          <w:lang w:val="en-US"/>
        </w:rPr>
      </w:pPr>
      <w:r w:rsidRPr="00AA563D">
        <w:rPr>
          <w:b/>
          <w:lang w:val="en-US"/>
        </w:rPr>
        <w:t>Cammarota G</w:t>
      </w:r>
      <w:r w:rsidRPr="00AA563D">
        <w:rPr>
          <w:lang w:val="en-US"/>
        </w:rPr>
        <w:t xml:space="preserve">, Cazzato A, Genovese O, Pantanella A, Ianiro G, Giorgio V, Montalto M, Vecchio FM, Larocca LM, Gasbarrini G, Fundarò C. Water immersion technique during standard upper endoscopy may be useful to drive the biopsy sampling of duodenal mucosa in children with celiac disease. </w:t>
      </w:r>
      <w:r w:rsidRPr="002F0DD6">
        <w:rPr>
          <w:lang w:val="en-US"/>
        </w:rPr>
        <w:t>JOURNAL OF PEDIATRIC GASTROENTEROLOGY AND NUTRITION 2009</w:t>
      </w:r>
      <w:proofErr w:type="gramStart"/>
      <w:r w:rsidRPr="002F0DD6">
        <w:rPr>
          <w:lang w:val="en-US"/>
        </w:rPr>
        <w:t>;49:411</w:t>
      </w:r>
      <w:proofErr w:type="gramEnd"/>
      <w:r w:rsidRPr="002F0DD6">
        <w:rPr>
          <w:lang w:val="en-US"/>
        </w:rPr>
        <w:t xml:space="preserve">-415. </w:t>
      </w:r>
    </w:p>
    <w:p w:rsidR="00AA563D" w:rsidRPr="002F0DD6" w:rsidRDefault="00AA563D" w:rsidP="001A20A0">
      <w:pPr>
        <w:widowControl/>
        <w:tabs>
          <w:tab w:val="left" w:pos="142"/>
          <w:tab w:val="left" w:pos="709"/>
        </w:tabs>
        <w:ind w:left="142" w:right="-380"/>
        <w:rPr>
          <w:lang w:val="en-US"/>
        </w:rPr>
      </w:pPr>
    </w:p>
    <w:p w:rsidR="00596ECA" w:rsidRDefault="00596ECA" w:rsidP="001A20A0">
      <w:pPr>
        <w:widowControl/>
        <w:tabs>
          <w:tab w:val="left" w:pos="142"/>
          <w:tab w:val="left" w:pos="709"/>
        </w:tabs>
        <w:ind w:left="142" w:right="-380"/>
        <w:rPr>
          <w:lang w:val="en-US"/>
        </w:rPr>
      </w:pPr>
      <w:r w:rsidRPr="00AA563D">
        <w:rPr>
          <w:b/>
          <w:lang w:val="en-US"/>
        </w:rPr>
        <w:t>Cammarota G</w:t>
      </w:r>
      <w:r w:rsidRPr="00AA563D">
        <w:rPr>
          <w:lang w:val="en-US"/>
        </w:rPr>
        <w:t xml:space="preserve">, Masala G, Cianci R, Palli D, Bendinelli B, Galli J, Pandolfi F, Gasbarrini A, Landolfi R. Reflux symptoms in wind instrument players. ALIMENTARY PHARMACOLOGY AND THERAPEUTICS 2010; </w:t>
      </w:r>
      <w:r w:rsidRPr="00AA563D">
        <w:rPr>
          <w:rStyle w:val="b3"/>
          <w:lang w:val="en-US"/>
        </w:rPr>
        <w:t>31:</w:t>
      </w:r>
      <w:r w:rsidR="00AA563D">
        <w:rPr>
          <w:lang w:val="en-US"/>
        </w:rPr>
        <w:t>593–600.</w:t>
      </w:r>
    </w:p>
    <w:p w:rsidR="00AA563D" w:rsidRPr="00AA563D" w:rsidRDefault="00AA563D" w:rsidP="001A20A0">
      <w:pPr>
        <w:widowControl/>
        <w:tabs>
          <w:tab w:val="left" w:pos="142"/>
          <w:tab w:val="left" w:pos="709"/>
        </w:tabs>
        <w:ind w:left="142" w:right="-380"/>
        <w:rPr>
          <w:lang w:val="en-US"/>
        </w:rPr>
      </w:pPr>
    </w:p>
    <w:p w:rsidR="00596ECA" w:rsidRPr="002F0DD6" w:rsidRDefault="00596ECA" w:rsidP="001A20A0">
      <w:pPr>
        <w:widowControl/>
        <w:tabs>
          <w:tab w:val="left" w:pos="142"/>
          <w:tab w:val="left" w:pos="709"/>
        </w:tabs>
        <w:ind w:left="142" w:right="-380"/>
        <w:rPr>
          <w:lang w:val="en-US"/>
        </w:rPr>
      </w:pPr>
      <w:r w:rsidRPr="002F0DD6">
        <w:rPr>
          <w:b/>
          <w:lang w:val="en-US"/>
        </w:rPr>
        <w:t>Cammarota G</w:t>
      </w:r>
      <w:r w:rsidRPr="002F0DD6">
        <w:rPr>
          <w:lang w:val="en-US"/>
        </w:rPr>
        <w:t xml:space="preserve">, Branca G, Ardito F, Sanguinetti M, Ianiro G, Cianci R, Torelli R, Masala G, Gasbarrini A, Fadda G, Landolfi R, Gasbarrini G. Biofilm demolition and antibiotic treatment to eradicate resistant </w:t>
      </w:r>
      <w:r w:rsidRPr="002F0DD6">
        <w:rPr>
          <w:i/>
          <w:lang w:val="en-US"/>
        </w:rPr>
        <w:t>Helicobacter pylori</w:t>
      </w:r>
      <w:r w:rsidRPr="002F0DD6">
        <w:rPr>
          <w:lang w:val="en-US"/>
        </w:rPr>
        <w:t>: A clinical trial. CLINICAL GASTROENTEROLOGY AND HEPATOLOGY 2010</w:t>
      </w:r>
      <w:proofErr w:type="gramStart"/>
      <w:r w:rsidRPr="002F0DD6">
        <w:rPr>
          <w:lang w:val="en-US"/>
        </w:rPr>
        <w:t>;8:817</w:t>
      </w:r>
      <w:proofErr w:type="gramEnd"/>
      <w:r w:rsidRPr="002F0DD6">
        <w:rPr>
          <w:lang w:val="en-US"/>
        </w:rPr>
        <w:t xml:space="preserve">–820. </w:t>
      </w:r>
    </w:p>
    <w:p w:rsidR="00596ECA" w:rsidRPr="002F0DD6" w:rsidRDefault="00596ECA" w:rsidP="001A20A0">
      <w:pPr>
        <w:pStyle w:val="Paragrafoelenco"/>
        <w:tabs>
          <w:tab w:val="left" w:pos="142"/>
          <w:tab w:val="left" w:pos="709"/>
        </w:tabs>
        <w:ind w:left="142" w:right="-380"/>
        <w:rPr>
          <w:lang w:val="en-US"/>
        </w:rPr>
      </w:pPr>
    </w:p>
    <w:p w:rsidR="00596ECA" w:rsidRPr="002F0DD6" w:rsidRDefault="00596ECA" w:rsidP="001A20A0">
      <w:pPr>
        <w:widowControl/>
        <w:shd w:val="clear" w:color="auto" w:fill="FFFFFF"/>
        <w:tabs>
          <w:tab w:val="left" w:pos="0"/>
          <w:tab w:val="left" w:pos="709"/>
          <w:tab w:val="left" w:pos="851"/>
        </w:tabs>
        <w:ind w:left="142" w:right="-380"/>
        <w:rPr>
          <w:lang w:val="en-US"/>
        </w:rPr>
      </w:pPr>
      <w:r w:rsidRPr="00596ECA">
        <w:rPr>
          <w:b/>
          <w:bCs/>
          <w:lang w:val="en-US"/>
        </w:rPr>
        <w:t>Cammarota G</w:t>
      </w:r>
      <w:r w:rsidRPr="00596ECA">
        <w:rPr>
          <w:lang w:val="en-US"/>
        </w:rPr>
        <w:t xml:space="preserve">, Sanguinetti M, Gallo A, Posteraro B. </w:t>
      </w:r>
      <w:r w:rsidRPr="00596ECA">
        <w:rPr>
          <w:bCs/>
          <w:lang w:val="en-US"/>
        </w:rPr>
        <w:t xml:space="preserve">Review article: biofilm formation by Helicobacter pylori as a target for eradication of resistant infection. </w:t>
      </w:r>
      <w:r w:rsidRPr="002F0DD6">
        <w:rPr>
          <w:lang w:val="en-US"/>
        </w:rPr>
        <w:t>ALIMENTARY PHARMACOLOGY AND THERAPEUTICS 2012</w:t>
      </w:r>
      <w:proofErr w:type="gramStart"/>
      <w:r w:rsidRPr="002F0DD6">
        <w:rPr>
          <w:lang w:val="en-US"/>
        </w:rPr>
        <w:t>;36:222</w:t>
      </w:r>
      <w:proofErr w:type="gramEnd"/>
      <w:r w:rsidRPr="002F0DD6">
        <w:rPr>
          <w:lang w:val="en-US"/>
        </w:rPr>
        <w:t xml:space="preserve">-230. </w:t>
      </w:r>
    </w:p>
    <w:p w:rsidR="00596ECA" w:rsidRPr="002F0DD6" w:rsidRDefault="00596ECA" w:rsidP="001A20A0">
      <w:pPr>
        <w:pStyle w:val="Paragrafoelenco"/>
        <w:tabs>
          <w:tab w:val="left" w:pos="709"/>
        </w:tabs>
        <w:ind w:left="142" w:right="-380"/>
        <w:rPr>
          <w:lang w:val="en-US"/>
        </w:rPr>
      </w:pPr>
    </w:p>
    <w:p w:rsidR="00596ECA" w:rsidRPr="00596ECA" w:rsidRDefault="00596ECA" w:rsidP="001A20A0">
      <w:pPr>
        <w:widowControl/>
        <w:shd w:val="clear" w:color="auto" w:fill="FFFFFF"/>
        <w:tabs>
          <w:tab w:val="left" w:pos="0"/>
          <w:tab w:val="left" w:pos="709"/>
          <w:tab w:val="left" w:pos="851"/>
        </w:tabs>
        <w:ind w:left="142" w:right="-380"/>
        <w:textAlignment w:val="baseline"/>
        <w:rPr>
          <w:color w:val="000000" w:themeColor="text1"/>
          <w:lang w:val="en-US"/>
        </w:rPr>
      </w:pPr>
      <w:r w:rsidRPr="002F0DD6">
        <w:rPr>
          <w:b/>
          <w:color w:val="000000" w:themeColor="text1"/>
          <w:lang w:val="en-US"/>
        </w:rPr>
        <w:t>Cammarota G</w:t>
      </w:r>
      <w:r w:rsidRPr="002F0DD6">
        <w:rPr>
          <w:color w:val="000000" w:themeColor="text1"/>
          <w:lang w:val="en-US"/>
        </w:rPr>
        <w:t xml:space="preserve">, Ianiro G, Sparano L, La Mura R, Ricci R, Larocca LM, Landolfi R, Gasbarrini A. Image-enhanced endoscopy with i-scan technology for the evaluation of duodenal villous pattern. </w:t>
      </w:r>
      <w:r w:rsidRPr="00596ECA">
        <w:rPr>
          <w:color w:val="000000" w:themeColor="text1"/>
          <w:lang w:val="en-US"/>
        </w:rPr>
        <w:t>DIGESTIVE DISEASES AND SCIENCES 2013</w:t>
      </w:r>
      <w:proofErr w:type="gramStart"/>
      <w:r w:rsidRPr="00596ECA">
        <w:rPr>
          <w:color w:val="000000" w:themeColor="text1"/>
          <w:lang w:val="en-US"/>
        </w:rPr>
        <w:t>;58:1287</w:t>
      </w:r>
      <w:proofErr w:type="gramEnd"/>
      <w:r w:rsidRPr="00596ECA">
        <w:rPr>
          <w:color w:val="000000" w:themeColor="text1"/>
          <w:lang w:val="en-US"/>
        </w:rPr>
        <w:t xml:space="preserve">-1292. </w:t>
      </w:r>
    </w:p>
    <w:p w:rsidR="00596ECA" w:rsidRPr="00596ECA" w:rsidRDefault="00596ECA" w:rsidP="001A20A0">
      <w:pPr>
        <w:shd w:val="clear" w:color="auto" w:fill="FFFFFF"/>
        <w:tabs>
          <w:tab w:val="left" w:pos="0"/>
          <w:tab w:val="left" w:pos="709"/>
          <w:tab w:val="left" w:pos="851"/>
        </w:tabs>
        <w:ind w:left="142" w:right="-380"/>
        <w:textAlignment w:val="baseline"/>
        <w:rPr>
          <w:color w:val="000000" w:themeColor="text1"/>
          <w:lang w:val="en-US"/>
        </w:rPr>
      </w:pPr>
    </w:p>
    <w:p w:rsidR="00596ECA" w:rsidRPr="00596ECA" w:rsidRDefault="00596ECA" w:rsidP="001A20A0">
      <w:pPr>
        <w:widowControl/>
        <w:shd w:val="clear" w:color="auto" w:fill="FFFFFF"/>
        <w:tabs>
          <w:tab w:val="left" w:pos="0"/>
          <w:tab w:val="left" w:pos="709"/>
          <w:tab w:val="left" w:pos="851"/>
        </w:tabs>
        <w:ind w:left="142" w:right="-380"/>
        <w:textAlignment w:val="baseline"/>
        <w:rPr>
          <w:lang w:val="en-US"/>
        </w:rPr>
      </w:pPr>
      <w:r w:rsidRPr="00596ECA">
        <w:rPr>
          <w:b/>
          <w:bCs/>
        </w:rPr>
        <w:t>Cammarota G</w:t>
      </w:r>
      <w:r w:rsidRPr="00596ECA">
        <w:t xml:space="preserve">, Ianiro G, Gasbarrini A. </w:t>
      </w:r>
      <w:hyperlink r:id="rId9" w:history="1">
        <w:r w:rsidRPr="00596ECA">
          <w:rPr>
            <w:rStyle w:val="Collegamentoipertestuale"/>
            <w:color w:val="auto"/>
            <w:u w:val="none"/>
            <w:lang w:val="en-US"/>
          </w:rPr>
          <w:t>Fecal microbiota transplantation for the treatment of Clostridium difficile infection: a systematic review.</w:t>
        </w:r>
      </w:hyperlink>
      <w:r w:rsidRPr="00596ECA">
        <w:rPr>
          <w:lang w:val="en-US"/>
        </w:rPr>
        <w:t xml:space="preserve"> JOURNAL OF CLINICAL GASTROENTEROLOGY; 2014</w:t>
      </w:r>
      <w:proofErr w:type="gramStart"/>
      <w:r w:rsidRPr="00596ECA">
        <w:rPr>
          <w:lang w:val="en-US"/>
        </w:rPr>
        <w:t>;48:693</w:t>
      </w:r>
      <w:proofErr w:type="gramEnd"/>
      <w:r w:rsidRPr="00596ECA">
        <w:rPr>
          <w:lang w:val="en-US"/>
        </w:rPr>
        <w:t xml:space="preserve">-702. </w:t>
      </w:r>
    </w:p>
    <w:p w:rsidR="00596ECA" w:rsidRPr="00596ECA" w:rsidRDefault="00596ECA" w:rsidP="001A20A0">
      <w:pPr>
        <w:shd w:val="clear" w:color="auto" w:fill="FFFFFF"/>
        <w:tabs>
          <w:tab w:val="left" w:pos="0"/>
          <w:tab w:val="left" w:pos="709"/>
          <w:tab w:val="left" w:pos="851"/>
        </w:tabs>
        <w:ind w:left="142" w:right="-380"/>
        <w:textAlignment w:val="baseline"/>
        <w:rPr>
          <w:lang w:val="en-US"/>
        </w:rPr>
      </w:pPr>
    </w:p>
    <w:p w:rsidR="00596ECA" w:rsidRDefault="00596ECA" w:rsidP="001A20A0">
      <w:pPr>
        <w:widowControl/>
        <w:shd w:val="clear" w:color="auto" w:fill="FFFFFF"/>
        <w:tabs>
          <w:tab w:val="left" w:pos="0"/>
          <w:tab w:val="left" w:pos="709"/>
          <w:tab w:val="left" w:pos="851"/>
        </w:tabs>
        <w:ind w:left="142" w:right="-380"/>
        <w:textAlignment w:val="baseline"/>
        <w:rPr>
          <w:lang w:val="en-US"/>
        </w:rPr>
      </w:pPr>
      <w:r w:rsidRPr="00AA563D">
        <w:rPr>
          <w:b/>
          <w:bCs/>
        </w:rPr>
        <w:t>Cammarota G</w:t>
      </w:r>
      <w:r w:rsidRPr="00596ECA">
        <w:t xml:space="preserve">, Ianiro G, Gasbarrini A, Masucci L, Sanguinetti M. </w:t>
      </w:r>
      <w:hyperlink r:id="rId10" w:history="1">
        <w:r w:rsidRPr="00AA563D">
          <w:rPr>
            <w:rStyle w:val="Collegamentoipertestuale"/>
            <w:color w:val="auto"/>
            <w:u w:val="none"/>
            <w:lang w:val="en-US"/>
          </w:rPr>
          <w:t>Faecal transplantation for Clostridium difficile infection. Three cases treated in Italy.</w:t>
        </w:r>
      </w:hyperlink>
      <w:r w:rsidRPr="00AA563D">
        <w:rPr>
          <w:lang w:val="en-US"/>
        </w:rPr>
        <w:t xml:space="preserve"> </w:t>
      </w:r>
      <w:r w:rsidRPr="00F773AD">
        <w:rPr>
          <w:lang w:val="en-US"/>
        </w:rPr>
        <w:t>DIGESTIVE AND LIVER DISEASE 2014</w:t>
      </w:r>
      <w:proofErr w:type="gramStart"/>
      <w:r w:rsidRPr="00F773AD">
        <w:rPr>
          <w:lang w:val="en-US"/>
        </w:rPr>
        <w:t>;46</w:t>
      </w:r>
      <w:proofErr w:type="gramEnd"/>
      <w:r w:rsidRPr="00F773AD">
        <w:rPr>
          <w:lang w:val="en-US"/>
        </w:rPr>
        <w:t>(5):475.</w:t>
      </w:r>
      <w:r w:rsidRPr="00AA563D">
        <w:rPr>
          <w:lang w:val="en-US"/>
        </w:rPr>
        <w:t xml:space="preserve"> </w:t>
      </w:r>
    </w:p>
    <w:p w:rsidR="00AA563D" w:rsidRPr="00AA563D" w:rsidRDefault="00AA563D" w:rsidP="001A20A0">
      <w:pPr>
        <w:widowControl/>
        <w:shd w:val="clear" w:color="auto" w:fill="FFFFFF"/>
        <w:tabs>
          <w:tab w:val="left" w:pos="0"/>
          <w:tab w:val="left" w:pos="709"/>
          <w:tab w:val="left" w:pos="851"/>
        </w:tabs>
        <w:ind w:left="142" w:right="-380"/>
        <w:textAlignment w:val="baseline"/>
        <w:rPr>
          <w:lang w:val="en-US"/>
        </w:rPr>
      </w:pPr>
    </w:p>
    <w:p w:rsidR="00596ECA" w:rsidRPr="00596ECA" w:rsidRDefault="00596ECA" w:rsidP="001A20A0">
      <w:pPr>
        <w:widowControl/>
        <w:shd w:val="clear" w:color="auto" w:fill="FFFFFF"/>
        <w:tabs>
          <w:tab w:val="left" w:pos="0"/>
          <w:tab w:val="left" w:pos="709"/>
          <w:tab w:val="left" w:pos="851"/>
        </w:tabs>
        <w:ind w:left="142" w:right="-380"/>
        <w:textAlignment w:val="baseline"/>
        <w:rPr>
          <w:lang w:val="en-US"/>
        </w:rPr>
      </w:pPr>
      <w:r w:rsidRPr="00596ECA">
        <w:rPr>
          <w:b/>
          <w:bCs/>
        </w:rPr>
        <w:t>Cammarota G</w:t>
      </w:r>
      <w:r w:rsidRPr="00596ECA">
        <w:t xml:space="preserve">, Ianiro G, Bibbò S, Gasbarrini A. </w:t>
      </w:r>
      <w:hyperlink r:id="rId11" w:history="1">
        <w:r w:rsidRPr="00596ECA">
          <w:rPr>
            <w:rStyle w:val="Collegamentoipertestuale"/>
            <w:color w:val="auto"/>
            <w:u w:val="none"/>
            <w:lang w:val="en-US"/>
          </w:rPr>
          <w:t>Gut microbiota modulation: probiotics, antibiotics or fecal microbiota transplantation?</w:t>
        </w:r>
      </w:hyperlink>
      <w:r w:rsidRPr="00596ECA">
        <w:rPr>
          <w:lang w:val="en-US"/>
        </w:rPr>
        <w:t xml:space="preserve"> INTERNAL AND EMERGENCY MEDICINE 2014</w:t>
      </w:r>
      <w:proofErr w:type="gramStart"/>
      <w:r w:rsidRPr="00596ECA">
        <w:rPr>
          <w:lang w:val="en-US"/>
        </w:rPr>
        <w:t>;9</w:t>
      </w:r>
      <w:proofErr w:type="gramEnd"/>
      <w:r w:rsidRPr="00596ECA">
        <w:rPr>
          <w:lang w:val="en-US"/>
        </w:rPr>
        <w:t xml:space="preserve">(4):365-373. </w:t>
      </w:r>
    </w:p>
    <w:p w:rsidR="00596ECA" w:rsidRPr="00596ECA" w:rsidRDefault="00596ECA" w:rsidP="001A20A0">
      <w:pPr>
        <w:shd w:val="clear" w:color="auto" w:fill="FFFFFF"/>
        <w:tabs>
          <w:tab w:val="left" w:pos="0"/>
          <w:tab w:val="left" w:pos="709"/>
          <w:tab w:val="left" w:pos="851"/>
        </w:tabs>
        <w:ind w:left="142" w:right="-380"/>
        <w:textAlignment w:val="baseline"/>
        <w:rPr>
          <w:lang w:val="en-US"/>
        </w:rPr>
      </w:pPr>
    </w:p>
    <w:p w:rsidR="00596ECA" w:rsidRDefault="00596ECA" w:rsidP="001A20A0">
      <w:pPr>
        <w:widowControl/>
        <w:shd w:val="clear" w:color="auto" w:fill="FFFFFF"/>
        <w:tabs>
          <w:tab w:val="left" w:pos="0"/>
          <w:tab w:val="left" w:pos="709"/>
          <w:tab w:val="left" w:pos="851"/>
        </w:tabs>
        <w:ind w:left="142" w:right="-380"/>
        <w:textAlignment w:val="baseline"/>
        <w:rPr>
          <w:lang w:val="en-US"/>
        </w:rPr>
      </w:pPr>
      <w:r w:rsidRPr="00AA563D">
        <w:rPr>
          <w:b/>
          <w:bCs/>
        </w:rPr>
        <w:t>Cammarota G</w:t>
      </w:r>
      <w:r w:rsidRPr="00596ECA">
        <w:t xml:space="preserve">, Ianiro G, Bibbò S, Di Rienzo TA, Masucci L, Sanguinetti M, Gasbarrini A. </w:t>
      </w:r>
      <w:hyperlink r:id="rId12" w:history="1">
        <w:r w:rsidRPr="00AA563D">
          <w:rPr>
            <w:rStyle w:val="Collegamentoipertestuale"/>
            <w:color w:val="auto"/>
            <w:u w:val="none"/>
            <w:lang w:val="en-US"/>
          </w:rPr>
          <w:t>Culture-guided treatment approach for Helicobacter pylori infection: review of the literature.</w:t>
        </w:r>
      </w:hyperlink>
      <w:r w:rsidRPr="00AA563D">
        <w:rPr>
          <w:lang w:val="en-US"/>
        </w:rPr>
        <w:t xml:space="preserve"> WORLD JOURNAL OF GASTROENTEROLOGY 2014</w:t>
      </w:r>
      <w:proofErr w:type="gramStart"/>
      <w:r w:rsidRPr="00AA563D">
        <w:rPr>
          <w:lang w:val="en-US"/>
        </w:rPr>
        <w:t>;20</w:t>
      </w:r>
      <w:proofErr w:type="gramEnd"/>
      <w:r w:rsidRPr="00AA563D">
        <w:rPr>
          <w:lang w:val="en-US"/>
        </w:rPr>
        <w:t xml:space="preserve">(18):5205-5211. </w:t>
      </w:r>
    </w:p>
    <w:p w:rsidR="00AA563D" w:rsidRPr="00AA563D" w:rsidRDefault="00AA563D" w:rsidP="001A20A0">
      <w:pPr>
        <w:widowControl/>
        <w:shd w:val="clear" w:color="auto" w:fill="FFFFFF"/>
        <w:tabs>
          <w:tab w:val="left" w:pos="0"/>
          <w:tab w:val="left" w:pos="709"/>
          <w:tab w:val="left" w:pos="851"/>
        </w:tabs>
        <w:ind w:left="142" w:right="-380"/>
        <w:textAlignment w:val="baseline"/>
        <w:rPr>
          <w:lang w:val="en-US"/>
        </w:rPr>
      </w:pPr>
    </w:p>
    <w:p w:rsidR="00596ECA" w:rsidRDefault="00596ECA" w:rsidP="001A20A0">
      <w:pPr>
        <w:widowControl/>
        <w:shd w:val="clear" w:color="auto" w:fill="FFFFFF"/>
        <w:tabs>
          <w:tab w:val="left" w:pos="0"/>
          <w:tab w:val="left" w:pos="709"/>
          <w:tab w:val="left" w:pos="851"/>
        </w:tabs>
        <w:ind w:left="142" w:right="-380"/>
        <w:textAlignment w:val="baseline"/>
        <w:rPr>
          <w:lang w:val="en-US"/>
        </w:rPr>
      </w:pPr>
      <w:r w:rsidRPr="00AA563D">
        <w:rPr>
          <w:b/>
          <w:bCs/>
          <w:shd w:val="clear" w:color="auto" w:fill="FFFFFF"/>
        </w:rPr>
        <w:t>Cammarota G</w:t>
      </w:r>
      <w:r w:rsidRPr="00AA563D">
        <w:rPr>
          <w:shd w:val="clear" w:color="auto" w:fill="FFFFFF"/>
        </w:rPr>
        <w:t>, Ianiro G, Bibbò S, Gasbarrini A.</w:t>
      </w:r>
      <w:r w:rsidRPr="00596ECA">
        <w:t xml:space="preserve"> </w:t>
      </w:r>
      <w:hyperlink r:id="rId13" w:history="1">
        <w:r w:rsidRPr="00AA563D">
          <w:rPr>
            <w:rStyle w:val="Collegamentoipertestuale"/>
            <w:color w:val="auto"/>
            <w:u w:val="none"/>
            <w:shd w:val="clear" w:color="auto" w:fill="FFFFFF"/>
            <w:lang w:val="en-US"/>
          </w:rPr>
          <w:t>Letter: telmisartan associated enteropathy - is there any class effect? Authors' reply.</w:t>
        </w:r>
      </w:hyperlink>
      <w:r w:rsidRPr="00AA563D">
        <w:rPr>
          <w:lang w:val="en-US"/>
        </w:rPr>
        <w:t xml:space="preserve"> ALIMENTARY PHARMACOLOGY AND THERAPEUTICS 2014</w:t>
      </w:r>
      <w:proofErr w:type="gramStart"/>
      <w:r w:rsidRPr="00AA563D">
        <w:rPr>
          <w:lang w:val="en-US"/>
        </w:rPr>
        <w:t>;40</w:t>
      </w:r>
      <w:proofErr w:type="gramEnd"/>
      <w:r w:rsidRPr="00AA563D">
        <w:rPr>
          <w:lang w:val="en-US"/>
        </w:rPr>
        <w:t xml:space="preserve">(5):570. </w:t>
      </w:r>
    </w:p>
    <w:p w:rsidR="00AA563D" w:rsidRPr="00AA563D" w:rsidRDefault="00AA563D" w:rsidP="001A20A0">
      <w:pPr>
        <w:widowControl/>
        <w:shd w:val="clear" w:color="auto" w:fill="FFFFFF"/>
        <w:tabs>
          <w:tab w:val="left" w:pos="0"/>
          <w:tab w:val="left" w:pos="709"/>
          <w:tab w:val="left" w:pos="851"/>
        </w:tabs>
        <w:ind w:left="142" w:right="-380"/>
        <w:textAlignment w:val="baseline"/>
        <w:rPr>
          <w:lang w:val="en-US"/>
        </w:rPr>
      </w:pPr>
    </w:p>
    <w:p w:rsidR="00596ECA" w:rsidRDefault="00596ECA" w:rsidP="001A20A0">
      <w:pPr>
        <w:widowControl/>
        <w:shd w:val="clear" w:color="auto" w:fill="FFFFFF"/>
        <w:tabs>
          <w:tab w:val="left" w:pos="0"/>
          <w:tab w:val="left" w:pos="709"/>
          <w:tab w:val="left" w:pos="851"/>
        </w:tabs>
        <w:ind w:left="142" w:right="-380"/>
        <w:textAlignment w:val="baseline"/>
        <w:rPr>
          <w:lang w:val="en-US"/>
        </w:rPr>
      </w:pPr>
      <w:r w:rsidRPr="00AA563D">
        <w:rPr>
          <w:b/>
          <w:bCs/>
          <w:shd w:val="clear" w:color="auto" w:fill="FFFFFF"/>
        </w:rPr>
        <w:t>Cammarota G</w:t>
      </w:r>
      <w:r w:rsidRPr="00AA563D">
        <w:rPr>
          <w:shd w:val="clear" w:color="auto" w:fill="FFFFFF"/>
        </w:rPr>
        <w:t>, Ianiro G, Bibbò S, Gasbarrini A.</w:t>
      </w:r>
      <w:r w:rsidRPr="00596ECA">
        <w:t xml:space="preserve"> </w:t>
      </w:r>
      <w:hyperlink r:id="rId14" w:history="1">
        <w:r w:rsidRPr="00AA563D">
          <w:rPr>
            <w:rStyle w:val="Collegamentoipertestuale"/>
            <w:color w:val="auto"/>
            <w:u w:val="none"/>
            <w:shd w:val="clear" w:color="auto" w:fill="FFFFFF"/>
            <w:lang w:val="en-US"/>
          </w:rPr>
          <w:t>Fecal microbiota transplantation: a new old kid on the block for the management of gut microbiota-related disease.</w:t>
        </w:r>
      </w:hyperlink>
      <w:r w:rsidRPr="00AA563D">
        <w:rPr>
          <w:shd w:val="clear" w:color="auto" w:fill="FFFFFF"/>
          <w:lang w:val="en-US"/>
        </w:rPr>
        <w:t xml:space="preserve"> JOURNAL OF CLINICAL GASTROENTEROLOGY 2014</w:t>
      </w:r>
      <w:proofErr w:type="gramStart"/>
      <w:r w:rsidRPr="00AA563D">
        <w:rPr>
          <w:shd w:val="clear" w:color="auto" w:fill="FFFFFF"/>
          <w:lang w:val="en-US"/>
        </w:rPr>
        <w:t>;48</w:t>
      </w:r>
      <w:proofErr w:type="gramEnd"/>
      <w:r w:rsidRPr="00AA563D">
        <w:rPr>
          <w:shd w:val="clear" w:color="auto" w:fill="FFFFFF"/>
          <w:lang w:val="en-US"/>
        </w:rPr>
        <w:t>(suppl 1):S80-84.</w:t>
      </w:r>
      <w:r w:rsidRPr="00AA563D">
        <w:rPr>
          <w:lang w:val="en-US"/>
        </w:rPr>
        <w:t xml:space="preserve"> </w:t>
      </w:r>
    </w:p>
    <w:p w:rsidR="00AA563D" w:rsidRPr="00AA563D" w:rsidRDefault="00AA563D" w:rsidP="001A20A0">
      <w:pPr>
        <w:widowControl/>
        <w:shd w:val="clear" w:color="auto" w:fill="FFFFFF"/>
        <w:tabs>
          <w:tab w:val="left" w:pos="0"/>
          <w:tab w:val="left" w:pos="709"/>
          <w:tab w:val="left" w:pos="851"/>
        </w:tabs>
        <w:ind w:left="142" w:right="-380"/>
        <w:textAlignment w:val="baseline"/>
        <w:rPr>
          <w:lang w:val="en-US"/>
        </w:rPr>
      </w:pPr>
    </w:p>
    <w:p w:rsidR="00596ECA" w:rsidRPr="00596ECA" w:rsidRDefault="00596ECA" w:rsidP="001A20A0">
      <w:pPr>
        <w:widowControl/>
        <w:shd w:val="clear" w:color="auto" w:fill="FFFFFF"/>
        <w:tabs>
          <w:tab w:val="left" w:pos="0"/>
          <w:tab w:val="left" w:pos="709"/>
          <w:tab w:val="left" w:pos="851"/>
        </w:tabs>
        <w:ind w:left="142" w:right="-380"/>
        <w:textAlignment w:val="baseline"/>
        <w:rPr>
          <w:lang w:val="en-US"/>
        </w:rPr>
      </w:pPr>
      <w:r w:rsidRPr="00596ECA">
        <w:rPr>
          <w:b/>
          <w:bCs/>
          <w:shd w:val="clear" w:color="auto" w:fill="FFFFFF"/>
        </w:rPr>
        <w:t>Cammarota G</w:t>
      </w:r>
      <w:r w:rsidRPr="00596ECA">
        <w:rPr>
          <w:shd w:val="clear" w:color="auto" w:fill="FFFFFF"/>
        </w:rPr>
        <w:t>, Ianiro G, Cianci R, Bibbò S, Gasbarrini A, Currò D.</w:t>
      </w:r>
      <w:r w:rsidRPr="00596ECA">
        <w:t xml:space="preserve"> </w:t>
      </w:r>
      <w:hyperlink r:id="rId15" w:history="1">
        <w:r w:rsidRPr="00596ECA">
          <w:rPr>
            <w:rStyle w:val="Collegamentoipertestuale"/>
            <w:color w:val="auto"/>
            <w:u w:val="none"/>
            <w:lang w:val="en-US"/>
          </w:rPr>
          <w:t>The involvement of gut microbiota in inflammatory bowel disease pathogenesis: Potential for therapy.</w:t>
        </w:r>
      </w:hyperlink>
      <w:r w:rsidRPr="00596ECA">
        <w:rPr>
          <w:lang w:val="en-US"/>
        </w:rPr>
        <w:t xml:space="preserve"> PHARMACOLOGY &amp;THERAPEUTICS 2015</w:t>
      </w:r>
      <w:proofErr w:type="gramStart"/>
      <w:r w:rsidRPr="00596ECA">
        <w:rPr>
          <w:lang w:val="en-US"/>
        </w:rPr>
        <w:t>;</w:t>
      </w:r>
      <w:r w:rsidRPr="00F773AD">
        <w:rPr>
          <w:lang w:val="en-US"/>
        </w:rPr>
        <w:t>149:191</w:t>
      </w:r>
      <w:proofErr w:type="gramEnd"/>
      <w:r w:rsidRPr="00F773AD">
        <w:rPr>
          <w:lang w:val="en-US"/>
        </w:rPr>
        <w:t>-212</w:t>
      </w:r>
      <w:r w:rsidR="00AA563D" w:rsidRPr="00F773AD">
        <w:rPr>
          <w:lang w:val="en-US"/>
        </w:rPr>
        <w:t>.</w:t>
      </w:r>
    </w:p>
    <w:p w:rsidR="00596ECA" w:rsidRPr="00596ECA" w:rsidRDefault="00596ECA" w:rsidP="001A20A0">
      <w:pPr>
        <w:shd w:val="clear" w:color="auto" w:fill="FFFFFF"/>
        <w:tabs>
          <w:tab w:val="left" w:pos="0"/>
          <w:tab w:val="left" w:pos="709"/>
          <w:tab w:val="left" w:pos="851"/>
        </w:tabs>
        <w:ind w:left="142" w:right="-380"/>
        <w:textAlignment w:val="baseline"/>
        <w:rPr>
          <w:lang w:val="en-US"/>
        </w:rPr>
      </w:pPr>
    </w:p>
    <w:p w:rsidR="00596ECA" w:rsidRPr="00596ECA" w:rsidRDefault="00596ECA" w:rsidP="001A20A0">
      <w:pPr>
        <w:widowControl/>
        <w:shd w:val="clear" w:color="auto" w:fill="FFFFFF"/>
        <w:tabs>
          <w:tab w:val="left" w:pos="0"/>
          <w:tab w:val="left" w:pos="709"/>
          <w:tab w:val="left" w:pos="851"/>
        </w:tabs>
        <w:ind w:left="142" w:right="-380"/>
        <w:textAlignment w:val="baseline"/>
        <w:rPr>
          <w:lang w:val="en-US"/>
        </w:rPr>
      </w:pPr>
      <w:r w:rsidRPr="00596ECA">
        <w:rPr>
          <w:b/>
          <w:bCs/>
          <w:shd w:val="clear" w:color="auto" w:fill="FFFFFF"/>
        </w:rPr>
        <w:t>Cammarota G</w:t>
      </w:r>
      <w:r w:rsidRPr="00596ECA">
        <w:rPr>
          <w:shd w:val="clear" w:color="auto" w:fill="FFFFFF"/>
        </w:rPr>
        <w:t xml:space="preserve">, Masucci L, Ianiro G, Bibbò S, Dinoi G, Costamagna G, Sanguinetti M, Gasbarrini A. </w:t>
      </w:r>
      <w:hyperlink r:id="rId16" w:history="1">
        <w:r w:rsidRPr="00596ECA">
          <w:rPr>
            <w:rStyle w:val="Collegamentoipertestuale"/>
            <w:color w:val="auto"/>
            <w:u w:val="none"/>
            <w:shd w:val="clear" w:color="auto" w:fill="FFFFFF"/>
            <w:lang w:val="en-US"/>
          </w:rPr>
          <w:t>Randomised clinical trial: faecal microbiota transplantation by colonoscopy vs. vancomycin for the treatment of recurrent Clostridium difficile infection.</w:t>
        </w:r>
      </w:hyperlink>
      <w:r w:rsidRPr="00596ECA">
        <w:rPr>
          <w:lang w:val="en-US"/>
        </w:rPr>
        <w:t xml:space="preserve"> ALIMENTARY PHARMACOLOGY AND THERAPEUTICS 2015</w:t>
      </w:r>
      <w:proofErr w:type="gramStart"/>
      <w:r w:rsidRPr="00596ECA">
        <w:rPr>
          <w:lang w:val="en-US"/>
        </w:rPr>
        <w:t>;</w:t>
      </w:r>
      <w:r w:rsidRPr="00F773AD">
        <w:rPr>
          <w:lang w:val="en-US"/>
        </w:rPr>
        <w:t>41</w:t>
      </w:r>
      <w:proofErr w:type="gramEnd"/>
      <w:r w:rsidRPr="00F773AD">
        <w:rPr>
          <w:lang w:val="en-US"/>
        </w:rPr>
        <w:t>: 835-843</w:t>
      </w:r>
      <w:r w:rsidRPr="00596ECA">
        <w:rPr>
          <w:lang w:val="en-US"/>
        </w:rPr>
        <w:t xml:space="preserve"> </w:t>
      </w:r>
    </w:p>
    <w:p w:rsidR="00596ECA" w:rsidRPr="00596ECA" w:rsidRDefault="00596ECA" w:rsidP="001A20A0">
      <w:pPr>
        <w:shd w:val="clear" w:color="auto" w:fill="FFFFFF"/>
        <w:tabs>
          <w:tab w:val="left" w:pos="0"/>
          <w:tab w:val="left" w:pos="709"/>
          <w:tab w:val="left" w:pos="851"/>
        </w:tabs>
        <w:ind w:left="142" w:right="-380"/>
        <w:textAlignment w:val="baseline"/>
        <w:rPr>
          <w:lang w:val="en-US"/>
        </w:rPr>
      </w:pPr>
    </w:p>
    <w:p w:rsidR="008A1717" w:rsidRDefault="00596ECA" w:rsidP="001A20A0">
      <w:pPr>
        <w:widowControl/>
        <w:shd w:val="clear" w:color="auto" w:fill="FFFFFF"/>
        <w:tabs>
          <w:tab w:val="left" w:pos="0"/>
          <w:tab w:val="left" w:pos="709"/>
          <w:tab w:val="left" w:pos="851"/>
        </w:tabs>
        <w:ind w:left="142" w:right="-380"/>
        <w:textAlignment w:val="baseline"/>
        <w:rPr>
          <w:shd w:val="clear" w:color="auto" w:fill="FFFFFF"/>
          <w:lang w:val="en-US"/>
        </w:rPr>
      </w:pPr>
      <w:r w:rsidRPr="00AA563D">
        <w:rPr>
          <w:b/>
          <w:bCs/>
          <w:shd w:val="clear" w:color="auto" w:fill="FFFFFF"/>
          <w:lang w:val="en-US"/>
        </w:rPr>
        <w:lastRenderedPageBreak/>
        <w:t>Cammarota G</w:t>
      </w:r>
      <w:r w:rsidRPr="00AA563D">
        <w:rPr>
          <w:shd w:val="clear" w:color="auto" w:fill="FFFFFF"/>
          <w:lang w:val="en-US"/>
        </w:rPr>
        <w:t xml:space="preserve">, Ianiro G, Magalini S, Gasbarrini A, Gui D. </w:t>
      </w:r>
      <w:r w:rsidRPr="00AA563D">
        <w:rPr>
          <w:lang w:val="en-US"/>
        </w:rPr>
        <w:t xml:space="preserve">Decrease in surgery for Clostridium difficile infection after starting a program to transplant fecal microbiota. </w:t>
      </w:r>
      <w:r w:rsidRPr="00AA563D">
        <w:rPr>
          <w:rStyle w:val="jrnl"/>
          <w:shd w:val="clear" w:color="auto" w:fill="FFFFFF"/>
          <w:lang w:val="en-US"/>
        </w:rPr>
        <w:t>ANNALS OF INTERNAL MEDICINE</w:t>
      </w:r>
      <w:r w:rsidRPr="00AA563D">
        <w:rPr>
          <w:shd w:val="clear" w:color="auto" w:fill="FFFFFF"/>
          <w:lang w:val="en-US"/>
        </w:rPr>
        <w:t xml:space="preserve"> 2015; </w:t>
      </w:r>
      <w:r w:rsidRPr="008A1717">
        <w:rPr>
          <w:shd w:val="clear" w:color="auto" w:fill="FFFFFF"/>
          <w:lang w:val="en-US"/>
        </w:rPr>
        <w:t>163:487-488</w:t>
      </w:r>
    </w:p>
    <w:p w:rsidR="008A1717" w:rsidRDefault="008A1717" w:rsidP="001A20A0">
      <w:pPr>
        <w:pStyle w:val="Paragrafoelenco"/>
        <w:rPr>
          <w:bCs/>
          <w:color w:val="000000"/>
          <w:lang w:val="en-US" w:eastAsia="it-IT"/>
        </w:rPr>
      </w:pPr>
    </w:p>
    <w:p w:rsidR="008A1717" w:rsidRPr="008A1717" w:rsidRDefault="008A1717" w:rsidP="001A20A0">
      <w:pPr>
        <w:widowControl/>
        <w:shd w:val="clear" w:color="auto" w:fill="FFFFFF"/>
        <w:tabs>
          <w:tab w:val="left" w:pos="0"/>
          <w:tab w:val="left" w:pos="709"/>
          <w:tab w:val="left" w:pos="851"/>
        </w:tabs>
        <w:ind w:left="142" w:right="-380"/>
        <w:textAlignment w:val="baseline"/>
        <w:rPr>
          <w:shd w:val="clear" w:color="auto" w:fill="FFFFFF"/>
          <w:lang w:val="en-US"/>
        </w:rPr>
      </w:pPr>
      <w:r w:rsidRPr="008A1717">
        <w:rPr>
          <w:b/>
          <w:bCs/>
          <w:color w:val="000000"/>
          <w:lang w:val="en-US" w:eastAsia="it-IT"/>
        </w:rPr>
        <w:t>Cammarota G</w:t>
      </w:r>
      <w:r w:rsidRPr="008A1717">
        <w:rPr>
          <w:color w:val="000000"/>
          <w:lang w:val="en-US" w:eastAsia="it-IT"/>
        </w:rPr>
        <w:t>, Pecere S, Ianiro G, Masucci L, Currò D.</w:t>
      </w:r>
      <w:r w:rsidRPr="008A1717">
        <w:rPr>
          <w:bCs/>
          <w:color w:val="000000"/>
          <w:kern w:val="36"/>
          <w:lang w:val="en-US"/>
        </w:rPr>
        <w:t xml:space="preserve"> </w:t>
      </w:r>
      <w:r w:rsidRPr="008A1717">
        <w:rPr>
          <w:bCs/>
          <w:color w:val="000000"/>
          <w:kern w:val="36"/>
          <w:lang w:val="en-US"/>
        </w:rPr>
        <w:t>Principles of DNA-Based Gut Microbiota Assessment and Therapeutic Efficacy of Fecal Microbiota Transplantation in Gastrointestinal Diseases.</w:t>
      </w:r>
      <w:r w:rsidRPr="008A1717">
        <w:rPr>
          <w:bCs/>
          <w:color w:val="000000"/>
          <w:kern w:val="36"/>
          <w:lang w:val="en-US"/>
        </w:rPr>
        <w:t xml:space="preserve"> </w:t>
      </w:r>
      <w:r w:rsidRPr="008A1717">
        <w:rPr>
          <w:color w:val="000000"/>
          <w:lang w:val="en-US" w:eastAsia="it-IT"/>
        </w:rPr>
        <w:t>Dig Dis 2016</w:t>
      </w:r>
      <w:proofErr w:type="gramStart"/>
      <w:r w:rsidRPr="008A1717">
        <w:rPr>
          <w:color w:val="000000"/>
          <w:lang w:val="en-US" w:eastAsia="it-IT"/>
        </w:rPr>
        <w:t>;34:279</w:t>
      </w:r>
      <w:proofErr w:type="gramEnd"/>
      <w:r w:rsidRPr="008A1717">
        <w:rPr>
          <w:color w:val="000000"/>
          <w:lang w:val="en-US" w:eastAsia="it-IT"/>
        </w:rPr>
        <w:t>-85.</w:t>
      </w:r>
    </w:p>
    <w:p w:rsidR="008A1717" w:rsidRPr="008A1717" w:rsidRDefault="008A1717" w:rsidP="00AA563D">
      <w:pPr>
        <w:widowControl/>
        <w:shd w:val="clear" w:color="auto" w:fill="FFFFFF"/>
        <w:tabs>
          <w:tab w:val="left" w:pos="0"/>
          <w:tab w:val="left" w:pos="709"/>
          <w:tab w:val="left" w:pos="851"/>
        </w:tabs>
        <w:ind w:left="142" w:right="-380"/>
        <w:textAlignment w:val="baseline"/>
        <w:rPr>
          <w:shd w:val="clear" w:color="auto" w:fill="FFFFFF"/>
          <w:lang w:val="en-US"/>
        </w:rPr>
      </w:pPr>
    </w:p>
    <w:sectPr w:rsidR="008A1717" w:rsidRPr="008A1717" w:rsidSect="002E339B">
      <w:footerReference w:type="even" r:id="rId17"/>
      <w:footerReference w:type="default" r:id="rId18"/>
      <w:endnotePr>
        <w:numFmt w:val="decimal"/>
      </w:endnotePr>
      <w:pgSz w:w="11907" w:h="16840" w:code="9"/>
      <w:pgMar w:top="851" w:right="1797" w:bottom="851" w:left="851" w:header="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CF3" w:rsidRDefault="000B2CF3">
      <w:r>
        <w:separator/>
      </w:r>
    </w:p>
  </w:endnote>
  <w:endnote w:type="continuationSeparator" w:id="0">
    <w:p w:rsidR="000B2CF3" w:rsidRDefault="000B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C5" w:rsidRDefault="00A65BC5">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A65BC5" w:rsidRDefault="00A65BC5">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417018"/>
      <w:docPartObj>
        <w:docPartGallery w:val="Page Numbers (Bottom of Page)"/>
        <w:docPartUnique/>
      </w:docPartObj>
    </w:sdtPr>
    <w:sdtContent>
      <w:sdt>
        <w:sdtPr>
          <w:id w:val="104734591"/>
          <w:docPartObj>
            <w:docPartGallery w:val="Page Numbers (Top of Page)"/>
            <w:docPartUnique/>
          </w:docPartObj>
        </w:sdtPr>
        <w:sdtContent>
          <w:p w:rsidR="00A65BC5" w:rsidRDefault="00A65BC5">
            <w:pPr>
              <w:pStyle w:val="Pidipagina"/>
              <w:jc w:val="right"/>
            </w:pPr>
            <w:r>
              <w:t xml:space="preserve">Pagina </w:t>
            </w:r>
            <w:r>
              <w:rPr>
                <w:b/>
                <w:sz w:val="24"/>
                <w:szCs w:val="24"/>
              </w:rPr>
              <w:fldChar w:fldCharType="begin"/>
            </w:r>
            <w:r>
              <w:rPr>
                <w:b/>
              </w:rPr>
              <w:instrText>PAGE</w:instrText>
            </w:r>
            <w:r>
              <w:rPr>
                <w:b/>
                <w:sz w:val="24"/>
                <w:szCs w:val="24"/>
              </w:rPr>
              <w:fldChar w:fldCharType="separate"/>
            </w:r>
            <w:r w:rsidR="001A20A0">
              <w:rPr>
                <w:b/>
                <w:noProof/>
              </w:rPr>
              <w:t>6</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1A20A0">
              <w:rPr>
                <w:b/>
                <w:noProof/>
              </w:rPr>
              <w:t>6</w:t>
            </w:r>
            <w:r>
              <w:rPr>
                <w:b/>
                <w:sz w:val="24"/>
                <w:szCs w:val="24"/>
              </w:rPr>
              <w:fldChar w:fldCharType="end"/>
            </w:r>
          </w:p>
        </w:sdtContent>
      </w:sdt>
    </w:sdtContent>
  </w:sdt>
  <w:p w:rsidR="00A65BC5" w:rsidRPr="002E6E2B" w:rsidRDefault="00A65BC5">
    <w:pPr>
      <w:pStyle w:val="Aaoeeu"/>
      <w:widowControl/>
      <w:tabs>
        <w:tab w:val="left" w:pos="3261"/>
      </w:tabs>
      <w:rPr>
        <w:rFonts w:ascii="Arial Narrow" w:hAnsi="Arial Narrow"/>
        <w:sz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CF3" w:rsidRDefault="000B2CF3">
      <w:r>
        <w:separator/>
      </w:r>
    </w:p>
  </w:footnote>
  <w:footnote w:type="continuationSeparator" w:id="0">
    <w:p w:rsidR="000B2CF3" w:rsidRDefault="000B2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C2E60"/>
    <w:multiLevelType w:val="singleLevel"/>
    <w:tmpl w:val="04100001"/>
    <w:lvl w:ilvl="0">
      <w:start w:val="1"/>
      <w:numFmt w:val="bullet"/>
      <w:lvlText w:val=""/>
      <w:lvlJc w:val="left"/>
      <w:pPr>
        <w:ind w:left="720" w:hanging="360"/>
      </w:pPr>
      <w:rPr>
        <w:rFonts w:ascii="Symbol" w:hAnsi="Symbol" w:hint="default"/>
      </w:rPr>
    </w:lvl>
  </w:abstractNum>
  <w:abstractNum w:abstractNumId="2" w15:restartNumberingAfterBreak="0">
    <w:nsid w:val="008E791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FD417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7936CE"/>
    <w:multiLevelType w:val="hybridMultilevel"/>
    <w:tmpl w:val="582E7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267387"/>
    <w:multiLevelType w:val="hybridMultilevel"/>
    <w:tmpl w:val="88689E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9C4773"/>
    <w:multiLevelType w:val="singleLevel"/>
    <w:tmpl w:val="0410000F"/>
    <w:lvl w:ilvl="0">
      <w:start w:val="1"/>
      <w:numFmt w:val="decimal"/>
      <w:lvlText w:val="%1."/>
      <w:lvlJc w:val="left"/>
      <w:pPr>
        <w:ind w:left="720" w:hanging="360"/>
      </w:pPr>
    </w:lvl>
  </w:abstractNum>
  <w:abstractNum w:abstractNumId="7" w15:restartNumberingAfterBreak="0">
    <w:nsid w:val="179C688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A96D6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284ECC"/>
    <w:multiLevelType w:val="hybridMultilevel"/>
    <w:tmpl w:val="7E96B10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B4071F"/>
    <w:multiLevelType w:val="singleLevel"/>
    <w:tmpl w:val="0410000F"/>
    <w:lvl w:ilvl="0">
      <w:start w:val="1"/>
      <w:numFmt w:val="decimal"/>
      <w:lvlText w:val="%1."/>
      <w:lvlJc w:val="left"/>
      <w:pPr>
        <w:ind w:left="720" w:hanging="360"/>
      </w:pPr>
    </w:lvl>
  </w:abstractNum>
  <w:abstractNum w:abstractNumId="11" w15:restartNumberingAfterBreak="0">
    <w:nsid w:val="2B435FEE"/>
    <w:multiLevelType w:val="hybridMultilevel"/>
    <w:tmpl w:val="021E995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E7FCE"/>
    <w:multiLevelType w:val="singleLevel"/>
    <w:tmpl w:val="0410000F"/>
    <w:lvl w:ilvl="0">
      <w:start w:val="1"/>
      <w:numFmt w:val="decimal"/>
      <w:lvlText w:val="%1."/>
      <w:lvlJc w:val="left"/>
      <w:pPr>
        <w:ind w:left="360" w:hanging="360"/>
      </w:pPr>
    </w:lvl>
  </w:abstractNum>
  <w:abstractNum w:abstractNumId="13" w15:restartNumberingAfterBreak="0">
    <w:nsid w:val="3BD75E6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F528E9"/>
    <w:multiLevelType w:val="singleLevel"/>
    <w:tmpl w:val="0410000F"/>
    <w:lvl w:ilvl="0">
      <w:start w:val="1"/>
      <w:numFmt w:val="decimal"/>
      <w:lvlText w:val="%1."/>
      <w:lvlJc w:val="left"/>
      <w:pPr>
        <w:ind w:left="720" w:hanging="360"/>
      </w:pPr>
    </w:lvl>
  </w:abstractNum>
  <w:abstractNum w:abstractNumId="15" w15:restartNumberingAfterBreak="0">
    <w:nsid w:val="4F83165F"/>
    <w:multiLevelType w:val="singleLevel"/>
    <w:tmpl w:val="DDFCAA38"/>
    <w:lvl w:ilvl="0">
      <w:start w:val="1"/>
      <w:numFmt w:val="decimal"/>
      <w:lvlText w:val="%1."/>
      <w:legacy w:legacy="1" w:legacySpace="0" w:legacyIndent="283"/>
      <w:lvlJc w:val="left"/>
      <w:pPr>
        <w:ind w:left="283" w:hanging="283"/>
      </w:pPr>
    </w:lvl>
  </w:abstractNum>
  <w:abstractNum w:abstractNumId="16" w15:restartNumberingAfterBreak="0">
    <w:nsid w:val="612B7DFA"/>
    <w:multiLevelType w:val="singleLevel"/>
    <w:tmpl w:val="0410000F"/>
    <w:lvl w:ilvl="0">
      <w:start w:val="1"/>
      <w:numFmt w:val="decimal"/>
      <w:lvlText w:val="%1."/>
      <w:lvlJc w:val="left"/>
      <w:pPr>
        <w:ind w:left="720" w:hanging="360"/>
      </w:pPr>
    </w:lvl>
  </w:abstractNum>
  <w:abstractNum w:abstractNumId="17" w15:restartNumberingAfterBreak="0">
    <w:nsid w:val="661A32B2"/>
    <w:multiLevelType w:val="singleLevel"/>
    <w:tmpl w:val="04100011"/>
    <w:lvl w:ilvl="0">
      <w:start w:val="1"/>
      <w:numFmt w:val="decimal"/>
      <w:lvlText w:val="%1)"/>
      <w:lvlJc w:val="left"/>
      <w:pPr>
        <w:tabs>
          <w:tab w:val="num" w:pos="360"/>
        </w:tabs>
        <w:ind w:left="360" w:hanging="360"/>
      </w:pPr>
      <w:rPr>
        <w:rFonts w:hint="default"/>
      </w:rPr>
    </w:lvl>
  </w:abstractNum>
  <w:abstractNum w:abstractNumId="18" w15:restartNumberingAfterBreak="0">
    <w:nsid w:val="68C462A5"/>
    <w:multiLevelType w:val="hybridMultilevel"/>
    <w:tmpl w:val="26D2AD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FE263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F5449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906DF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DE24F6"/>
    <w:multiLevelType w:val="hybridMultilevel"/>
    <w:tmpl w:val="07C2065A"/>
    <w:lvl w:ilvl="0" w:tplc="D304B9A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0D320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4360FE"/>
    <w:multiLevelType w:val="hybridMultilevel"/>
    <w:tmpl w:val="9C7007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D52ABC"/>
    <w:multiLevelType w:val="singleLevel"/>
    <w:tmpl w:val="0410000F"/>
    <w:lvl w:ilvl="0">
      <w:start w:val="1"/>
      <w:numFmt w:val="decimal"/>
      <w:lvlText w:val="%1."/>
      <w:lvlJc w:val="left"/>
      <w:pPr>
        <w:tabs>
          <w:tab w:val="num" w:pos="360"/>
        </w:tabs>
        <w:ind w:left="360" w:hanging="360"/>
      </w:pPr>
    </w:lvl>
  </w:abstractNum>
  <w:num w:numId="1">
    <w:abstractNumId w:val="24"/>
  </w:num>
  <w:num w:numId="2">
    <w:abstractNumId w:val="20"/>
  </w:num>
  <w:num w:numId="3">
    <w:abstractNumId w:val="14"/>
  </w:num>
  <w:num w:numId="4">
    <w:abstractNumId w:val="4"/>
  </w:num>
  <w:num w:numId="5">
    <w:abstractNumId w:val="22"/>
  </w:num>
  <w:num w:numId="6">
    <w:abstractNumId w:val="8"/>
  </w:num>
  <w:num w:numId="7">
    <w:abstractNumId w:val="23"/>
  </w:num>
  <w:num w:numId="8">
    <w:abstractNumId w:val="2"/>
  </w:num>
  <w:num w:numId="9">
    <w:abstractNumId w:val="7"/>
  </w:num>
  <w:num w:numId="10">
    <w:abstractNumId w:val="15"/>
  </w:num>
  <w:num w:numId="11">
    <w:abstractNumId w:val="15"/>
    <w:lvlOverride w:ilvl="0">
      <w:lvl w:ilvl="0">
        <w:start w:val="1"/>
        <w:numFmt w:val="decimal"/>
        <w:lvlText w:val="%1."/>
        <w:legacy w:legacy="1" w:legacySpace="0" w:legacyIndent="283"/>
        <w:lvlJc w:val="left"/>
        <w:pPr>
          <w:ind w:left="283" w:hanging="283"/>
        </w:pPr>
      </w:lvl>
    </w:lvlOverride>
  </w:num>
  <w:num w:numId="12">
    <w:abstractNumId w:val="15"/>
    <w:lvlOverride w:ilvl="0">
      <w:lvl w:ilvl="0">
        <w:start w:val="1"/>
        <w:numFmt w:val="decimal"/>
        <w:lvlText w:val="%1."/>
        <w:legacy w:legacy="1" w:legacySpace="0" w:legacyIndent="283"/>
        <w:lvlJc w:val="left"/>
        <w:pPr>
          <w:ind w:left="283" w:hanging="283"/>
        </w:pPr>
      </w:lvl>
    </w:lvlOverride>
  </w:num>
  <w:num w:numId="13">
    <w:abstractNumId w:val="15"/>
    <w:lvlOverride w:ilvl="0">
      <w:lvl w:ilvl="0">
        <w:start w:val="1"/>
        <w:numFmt w:val="decimal"/>
        <w:lvlText w:val="%1."/>
        <w:legacy w:legacy="1" w:legacySpace="0" w:legacyIndent="283"/>
        <w:lvlJc w:val="left"/>
        <w:pPr>
          <w:ind w:left="283" w:hanging="283"/>
        </w:pPr>
      </w:lvl>
    </w:lvlOverride>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5"/>
  </w:num>
  <w:num w:numId="16">
    <w:abstractNumId w:val="13"/>
  </w:num>
  <w:num w:numId="17">
    <w:abstractNumId w:val="19"/>
  </w:num>
  <w:num w:numId="18">
    <w:abstractNumId w:val="1"/>
  </w:num>
  <w:num w:numId="19">
    <w:abstractNumId w:val="21"/>
  </w:num>
  <w:num w:numId="20">
    <w:abstractNumId w:val="3"/>
  </w:num>
  <w:num w:numId="21">
    <w:abstractNumId w:val="17"/>
  </w:num>
  <w:num w:numId="22">
    <w:abstractNumId w:val="11"/>
  </w:num>
  <w:num w:numId="23">
    <w:abstractNumId w:val="9"/>
  </w:num>
  <w:num w:numId="24">
    <w:abstractNumId w:val="12"/>
  </w:num>
  <w:num w:numId="25">
    <w:abstractNumId w:val="6"/>
  </w:num>
  <w:num w:numId="26">
    <w:abstractNumId w:val="5"/>
  </w:num>
  <w:num w:numId="27">
    <w:abstractNumId w:val="18"/>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2F"/>
    <w:rsid w:val="00000624"/>
    <w:rsid w:val="00003EA5"/>
    <w:rsid w:val="000077DC"/>
    <w:rsid w:val="000165F2"/>
    <w:rsid w:val="00023074"/>
    <w:rsid w:val="0002390B"/>
    <w:rsid w:val="0002687F"/>
    <w:rsid w:val="00060617"/>
    <w:rsid w:val="00063969"/>
    <w:rsid w:val="000670EC"/>
    <w:rsid w:val="0007436A"/>
    <w:rsid w:val="000834A7"/>
    <w:rsid w:val="000837CA"/>
    <w:rsid w:val="000838AB"/>
    <w:rsid w:val="000869EE"/>
    <w:rsid w:val="00094BB2"/>
    <w:rsid w:val="000A05D2"/>
    <w:rsid w:val="000A4566"/>
    <w:rsid w:val="000A6C7B"/>
    <w:rsid w:val="000B2CF3"/>
    <w:rsid w:val="000B5CE6"/>
    <w:rsid w:val="000B6245"/>
    <w:rsid w:val="000B6E27"/>
    <w:rsid w:val="000C2881"/>
    <w:rsid w:val="000C313E"/>
    <w:rsid w:val="000C5727"/>
    <w:rsid w:val="000C5C04"/>
    <w:rsid w:val="000D4D84"/>
    <w:rsid w:val="000D7640"/>
    <w:rsid w:val="000D7974"/>
    <w:rsid w:val="000E35A2"/>
    <w:rsid w:val="000F1245"/>
    <w:rsid w:val="000F5F50"/>
    <w:rsid w:val="000F6B28"/>
    <w:rsid w:val="000F75DB"/>
    <w:rsid w:val="0010349C"/>
    <w:rsid w:val="00104B5F"/>
    <w:rsid w:val="001059CF"/>
    <w:rsid w:val="00125C66"/>
    <w:rsid w:val="001452A5"/>
    <w:rsid w:val="00151C0C"/>
    <w:rsid w:val="001533FB"/>
    <w:rsid w:val="00155A72"/>
    <w:rsid w:val="00164BFE"/>
    <w:rsid w:val="00170507"/>
    <w:rsid w:val="00170F1A"/>
    <w:rsid w:val="00181FED"/>
    <w:rsid w:val="00186D69"/>
    <w:rsid w:val="001876D1"/>
    <w:rsid w:val="00191194"/>
    <w:rsid w:val="001928EE"/>
    <w:rsid w:val="0019449D"/>
    <w:rsid w:val="001A20A0"/>
    <w:rsid w:val="001C0EA5"/>
    <w:rsid w:val="001D3F69"/>
    <w:rsid w:val="001D6BCB"/>
    <w:rsid w:val="001E583C"/>
    <w:rsid w:val="001F3DDD"/>
    <w:rsid w:val="0020010C"/>
    <w:rsid w:val="00207042"/>
    <w:rsid w:val="0020717F"/>
    <w:rsid w:val="00210328"/>
    <w:rsid w:val="0021092D"/>
    <w:rsid w:val="002120A7"/>
    <w:rsid w:val="002167EA"/>
    <w:rsid w:val="00226039"/>
    <w:rsid w:val="00231598"/>
    <w:rsid w:val="00240073"/>
    <w:rsid w:val="00240351"/>
    <w:rsid w:val="00245A39"/>
    <w:rsid w:val="0026078D"/>
    <w:rsid w:val="00261846"/>
    <w:rsid w:val="00261BEE"/>
    <w:rsid w:val="00267ED7"/>
    <w:rsid w:val="00271A28"/>
    <w:rsid w:val="00274817"/>
    <w:rsid w:val="00274C20"/>
    <w:rsid w:val="00293F6B"/>
    <w:rsid w:val="002A0C1B"/>
    <w:rsid w:val="002A13F7"/>
    <w:rsid w:val="002B579B"/>
    <w:rsid w:val="002C1674"/>
    <w:rsid w:val="002C2872"/>
    <w:rsid w:val="002D4655"/>
    <w:rsid w:val="002E13DC"/>
    <w:rsid w:val="002E2E1A"/>
    <w:rsid w:val="002E339B"/>
    <w:rsid w:val="002E6E2B"/>
    <w:rsid w:val="002F0DD6"/>
    <w:rsid w:val="002F3C99"/>
    <w:rsid w:val="002F3E82"/>
    <w:rsid w:val="002F6D4B"/>
    <w:rsid w:val="003045CF"/>
    <w:rsid w:val="00306D0D"/>
    <w:rsid w:val="00307030"/>
    <w:rsid w:val="00324D6C"/>
    <w:rsid w:val="00335769"/>
    <w:rsid w:val="003417D9"/>
    <w:rsid w:val="00344EE3"/>
    <w:rsid w:val="00350E74"/>
    <w:rsid w:val="003655FA"/>
    <w:rsid w:val="00393F7A"/>
    <w:rsid w:val="003A624C"/>
    <w:rsid w:val="003A7508"/>
    <w:rsid w:val="003A7C07"/>
    <w:rsid w:val="003A7DF4"/>
    <w:rsid w:val="003C4579"/>
    <w:rsid w:val="003D006A"/>
    <w:rsid w:val="003F0940"/>
    <w:rsid w:val="003F2E1A"/>
    <w:rsid w:val="003F7DE9"/>
    <w:rsid w:val="003F7EAE"/>
    <w:rsid w:val="0040447B"/>
    <w:rsid w:val="00410378"/>
    <w:rsid w:val="00412877"/>
    <w:rsid w:val="00427A3F"/>
    <w:rsid w:val="00431832"/>
    <w:rsid w:val="00442382"/>
    <w:rsid w:val="0044397D"/>
    <w:rsid w:val="0045421B"/>
    <w:rsid w:val="004560F7"/>
    <w:rsid w:val="00462DFC"/>
    <w:rsid w:val="00471203"/>
    <w:rsid w:val="00474A99"/>
    <w:rsid w:val="00493B28"/>
    <w:rsid w:val="00494CBF"/>
    <w:rsid w:val="00495428"/>
    <w:rsid w:val="00495A9E"/>
    <w:rsid w:val="00496D9B"/>
    <w:rsid w:val="004A3476"/>
    <w:rsid w:val="004B2B2B"/>
    <w:rsid w:val="004D173E"/>
    <w:rsid w:val="004E186E"/>
    <w:rsid w:val="004E22D4"/>
    <w:rsid w:val="004E2B80"/>
    <w:rsid w:val="004E4268"/>
    <w:rsid w:val="004E45DE"/>
    <w:rsid w:val="004E7BA7"/>
    <w:rsid w:val="004F43F1"/>
    <w:rsid w:val="005106D2"/>
    <w:rsid w:val="005318DF"/>
    <w:rsid w:val="00534EE2"/>
    <w:rsid w:val="00537749"/>
    <w:rsid w:val="0054135E"/>
    <w:rsid w:val="00546EA8"/>
    <w:rsid w:val="00550611"/>
    <w:rsid w:val="00564B94"/>
    <w:rsid w:val="005713F5"/>
    <w:rsid w:val="0057152D"/>
    <w:rsid w:val="00572014"/>
    <w:rsid w:val="005871B5"/>
    <w:rsid w:val="00596ECA"/>
    <w:rsid w:val="005B1D59"/>
    <w:rsid w:val="005B508E"/>
    <w:rsid w:val="005B6F85"/>
    <w:rsid w:val="005D3AA4"/>
    <w:rsid w:val="005F1082"/>
    <w:rsid w:val="005F1E8E"/>
    <w:rsid w:val="005F3220"/>
    <w:rsid w:val="005F3C28"/>
    <w:rsid w:val="00601DF0"/>
    <w:rsid w:val="00630C20"/>
    <w:rsid w:val="006350B0"/>
    <w:rsid w:val="006351B0"/>
    <w:rsid w:val="006423AB"/>
    <w:rsid w:val="00652CF2"/>
    <w:rsid w:val="00652DBD"/>
    <w:rsid w:val="006533F0"/>
    <w:rsid w:val="00653CB7"/>
    <w:rsid w:val="006553B7"/>
    <w:rsid w:val="00662652"/>
    <w:rsid w:val="006766A3"/>
    <w:rsid w:val="00677476"/>
    <w:rsid w:val="00687065"/>
    <w:rsid w:val="00695C59"/>
    <w:rsid w:val="006A404F"/>
    <w:rsid w:val="006B5E36"/>
    <w:rsid w:val="006B7561"/>
    <w:rsid w:val="006C07E9"/>
    <w:rsid w:val="006C2BE6"/>
    <w:rsid w:val="006C6E2F"/>
    <w:rsid w:val="006F2225"/>
    <w:rsid w:val="006F5A3E"/>
    <w:rsid w:val="007106A8"/>
    <w:rsid w:val="00717FB2"/>
    <w:rsid w:val="00726AE1"/>
    <w:rsid w:val="00731326"/>
    <w:rsid w:val="00737A67"/>
    <w:rsid w:val="00742EA5"/>
    <w:rsid w:val="00743E52"/>
    <w:rsid w:val="007570DE"/>
    <w:rsid w:val="00764CCF"/>
    <w:rsid w:val="0077639B"/>
    <w:rsid w:val="00776C91"/>
    <w:rsid w:val="007779AB"/>
    <w:rsid w:val="00784234"/>
    <w:rsid w:val="00785B37"/>
    <w:rsid w:val="00785D5D"/>
    <w:rsid w:val="007976E8"/>
    <w:rsid w:val="007A152F"/>
    <w:rsid w:val="007A5247"/>
    <w:rsid w:val="007A684B"/>
    <w:rsid w:val="007A6B2A"/>
    <w:rsid w:val="007C21EE"/>
    <w:rsid w:val="007C3404"/>
    <w:rsid w:val="007C437C"/>
    <w:rsid w:val="007D08DF"/>
    <w:rsid w:val="007D5138"/>
    <w:rsid w:val="007E12BB"/>
    <w:rsid w:val="007E5794"/>
    <w:rsid w:val="007E58BC"/>
    <w:rsid w:val="007F018E"/>
    <w:rsid w:val="00802124"/>
    <w:rsid w:val="008046DF"/>
    <w:rsid w:val="0081170A"/>
    <w:rsid w:val="00813758"/>
    <w:rsid w:val="00816DAE"/>
    <w:rsid w:val="00826369"/>
    <w:rsid w:val="00834AA7"/>
    <w:rsid w:val="00851CE9"/>
    <w:rsid w:val="00867682"/>
    <w:rsid w:val="00871757"/>
    <w:rsid w:val="00893D47"/>
    <w:rsid w:val="008A1717"/>
    <w:rsid w:val="008A3A07"/>
    <w:rsid w:val="008B2635"/>
    <w:rsid w:val="008B2CBC"/>
    <w:rsid w:val="008B394F"/>
    <w:rsid w:val="008B39B7"/>
    <w:rsid w:val="008C2A8D"/>
    <w:rsid w:val="008C3D61"/>
    <w:rsid w:val="008D408E"/>
    <w:rsid w:val="008E7053"/>
    <w:rsid w:val="008F5935"/>
    <w:rsid w:val="008F59CF"/>
    <w:rsid w:val="008F70C7"/>
    <w:rsid w:val="0092412E"/>
    <w:rsid w:val="00935577"/>
    <w:rsid w:val="00935DE5"/>
    <w:rsid w:val="009453C8"/>
    <w:rsid w:val="00946B9B"/>
    <w:rsid w:val="00957994"/>
    <w:rsid w:val="00962C43"/>
    <w:rsid w:val="009821FD"/>
    <w:rsid w:val="009928FB"/>
    <w:rsid w:val="009945FD"/>
    <w:rsid w:val="009A5222"/>
    <w:rsid w:val="009B1820"/>
    <w:rsid w:val="009B573A"/>
    <w:rsid w:val="009B71B4"/>
    <w:rsid w:val="009C37B5"/>
    <w:rsid w:val="009C450F"/>
    <w:rsid w:val="009C6C95"/>
    <w:rsid w:val="009C70B4"/>
    <w:rsid w:val="009C7395"/>
    <w:rsid w:val="009C77AA"/>
    <w:rsid w:val="009D4304"/>
    <w:rsid w:val="009F30AB"/>
    <w:rsid w:val="00A01426"/>
    <w:rsid w:val="00A03533"/>
    <w:rsid w:val="00A038B5"/>
    <w:rsid w:val="00A05D88"/>
    <w:rsid w:val="00A1316D"/>
    <w:rsid w:val="00A1404E"/>
    <w:rsid w:val="00A214ED"/>
    <w:rsid w:val="00A331CA"/>
    <w:rsid w:val="00A35B27"/>
    <w:rsid w:val="00A61EFA"/>
    <w:rsid w:val="00A6298F"/>
    <w:rsid w:val="00A65BC5"/>
    <w:rsid w:val="00A70E13"/>
    <w:rsid w:val="00A7266E"/>
    <w:rsid w:val="00A72CB2"/>
    <w:rsid w:val="00A80808"/>
    <w:rsid w:val="00A8467A"/>
    <w:rsid w:val="00A94227"/>
    <w:rsid w:val="00AA563D"/>
    <w:rsid w:val="00AA5ACC"/>
    <w:rsid w:val="00AD70A4"/>
    <w:rsid w:val="00AE5BAC"/>
    <w:rsid w:val="00AF5CC6"/>
    <w:rsid w:val="00AF6BE0"/>
    <w:rsid w:val="00B000AC"/>
    <w:rsid w:val="00B109A7"/>
    <w:rsid w:val="00B141A4"/>
    <w:rsid w:val="00B176AB"/>
    <w:rsid w:val="00B17DBC"/>
    <w:rsid w:val="00B255FC"/>
    <w:rsid w:val="00B365FF"/>
    <w:rsid w:val="00B71E73"/>
    <w:rsid w:val="00B72049"/>
    <w:rsid w:val="00B75582"/>
    <w:rsid w:val="00B7691E"/>
    <w:rsid w:val="00B77A6D"/>
    <w:rsid w:val="00B83D82"/>
    <w:rsid w:val="00B94B67"/>
    <w:rsid w:val="00BA4EB2"/>
    <w:rsid w:val="00BB5265"/>
    <w:rsid w:val="00BB68DE"/>
    <w:rsid w:val="00BC06B5"/>
    <w:rsid w:val="00BC6311"/>
    <w:rsid w:val="00BD3054"/>
    <w:rsid w:val="00BD5F7A"/>
    <w:rsid w:val="00BE433F"/>
    <w:rsid w:val="00C11F20"/>
    <w:rsid w:val="00C26474"/>
    <w:rsid w:val="00C302AF"/>
    <w:rsid w:val="00C30C56"/>
    <w:rsid w:val="00C3680C"/>
    <w:rsid w:val="00C40695"/>
    <w:rsid w:val="00C440FF"/>
    <w:rsid w:val="00C4633B"/>
    <w:rsid w:val="00C518D8"/>
    <w:rsid w:val="00C52E32"/>
    <w:rsid w:val="00C66B2D"/>
    <w:rsid w:val="00C73DFD"/>
    <w:rsid w:val="00C75C7E"/>
    <w:rsid w:val="00C84F8E"/>
    <w:rsid w:val="00CA3D15"/>
    <w:rsid w:val="00CA7C59"/>
    <w:rsid w:val="00CB1C0C"/>
    <w:rsid w:val="00CB25F0"/>
    <w:rsid w:val="00CB41ED"/>
    <w:rsid w:val="00CD425A"/>
    <w:rsid w:val="00CD4CC5"/>
    <w:rsid w:val="00CE191D"/>
    <w:rsid w:val="00CE46C7"/>
    <w:rsid w:val="00CE4D88"/>
    <w:rsid w:val="00CE5952"/>
    <w:rsid w:val="00D00299"/>
    <w:rsid w:val="00D07529"/>
    <w:rsid w:val="00D13BC0"/>
    <w:rsid w:val="00D25784"/>
    <w:rsid w:val="00D3607C"/>
    <w:rsid w:val="00D418EF"/>
    <w:rsid w:val="00D45E34"/>
    <w:rsid w:val="00D51807"/>
    <w:rsid w:val="00D51BCC"/>
    <w:rsid w:val="00D51E81"/>
    <w:rsid w:val="00D551BE"/>
    <w:rsid w:val="00D67C2D"/>
    <w:rsid w:val="00D71FC2"/>
    <w:rsid w:val="00D73731"/>
    <w:rsid w:val="00D817DC"/>
    <w:rsid w:val="00D84A88"/>
    <w:rsid w:val="00D868B5"/>
    <w:rsid w:val="00DA2B3D"/>
    <w:rsid w:val="00DA381B"/>
    <w:rsid w:val="00DA3B60"/>
    <w:rsid w:val="00DB04A4"/>
    <w:rsid w:val="00DB2528"/>
    <w:rsid w:val="00DB5293"/>
    <w:rsid w:val="00DD5C1A"/>
    <w:rsid w:val="00DE62A7"/>
    <w:rsid w:val="00DF2828"/>
    <w:rsid w:val="00DF5D2D"/>
    <w:rsid w:val="00E043AB"/>
    <w:rsid w:val="00E04917"/>
    <w:rsid w:val="00E15FDE"/>
    <w:rsid w:val="00E1718B"/>
    <w:rsid w:val="00E249FB"/>
    <w:rsid w:val="00E26B7D"/>
    <w:rsid w:val="00E3488C"/>
    <w:rsid w:val="00E3661A"/>
    <w:rsid w:val="00E54842"/>
    <w:rsid w:val="00E6316B"/>
    <w:rsid w:val="00E70326"/>
    <w:rsid w:val="00E734F5"/>
    <w:rsid w:val="00E87CEB"/>
    <w:rsid w:val="00E90DD0"/>
    <w:rsid w:val="00E91443"/>
    <w:rsid w:val="00EB1018"/>
    <w:rsid w:val="00EB4C19"/>
    <w:rsid w:val="00EC7D87"/>
    <w:rsid w:val="00EE28A2"/>
    <w:rsid w:val="00EF0B96"/>
    <w:rsid w:val="00EF6F3A"/>
    <w:rsid w:val="00F33A3F"/>
    <w:rsid w:val="00F34645"/>
    <w:rsid w:val="00F4043C"/>
    <w:rsid w:val="00F47169"/>
    <w:rsid w:val="00F57AFA"/>
    <w:rsid w:val="00F57E77"/>
    <w:rsid w:val="00F63CF0"/>
    <w:rsid w:val="00F66704"/>
    <w:rsid w:val="00F70644"/>
    <w:rsid w:val="00F773AD"/>
    <w:rsid w:val="00F83F96"/>
    <w:rsid w:val="00F87F18"/>
    <w:rsid w:val="00FA1038"/>
    <w:rsid w:val="00FA730A"/>
    <w:rsid w:val="00FB4D52"/>
    <w:rsid w:val="00FB60A3"/>
    <w:rsid w:val="00FD74E2"/>
    <w:rsid w:val="00FD7F5E"/>
    <w:rsid w:val="00FE28A2"/>
    <w:rsid w:val="00FE4D43"/>
    <w:rsid w:val="00FF038E"/>
    <w:rsid w:val="00FF61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4B626-E51A-4CC4-A05F-3DA84097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E2F"/>
    <w:pPr>
      <w:widowControl w:val="0"/>
    </w:pPr>
    <w:rPr>
      <w:rFonts w:ascii="Times New Roman" w:eastAsia="Times New Roman" w:hAnsi="Times New Roman"/>
      <w:lang w:eastAsia="ko-KR"/>
    </w:rPr>
  </w:style>
  <w:style w:type="paragraph" w:styleId="Titolo1">
    <w:name w:val="heading 1"/>
    <w:basedOn w:val="Normale"/>
    <w:next w:val="Normale"/>
    <w:link w:val="Titolo1Carattere"/>
    <w:qFormat/>
    <w:rsid w:val="00495428"/>
    <w:pPr>
      <w:keepNext/>
      <w:widowControl/>
      <w:spacing w:before="240" w:after="60"/>
      <w:outlineLvl w:val="0"/>
    </w:pPr>
    <w:rPr>
      <w:rFonts w:ascii="Arial" w:hAnsi="Arial"/>
      <w:b/>
      <w:noProof/>
      <w:kern w:val="28"/>
      <w:sz w:val="28"/>
      <w:lang w:eastAsia="it-IT"/>
    </w:rPr>
  </w:style>
  <w:style w:type="paragraph" w:styleId="Titolo2">
    <w:name w:val="heading 2"/>
    <w:basedOn w:val="Normale"/>
    <w:next w:val="Normale"/>
    <w:link w:val="Titolo2Carattere"/>
    <w:qFormat/>
    <w:rsid w:val="00495428"/>
    <w:pPr>
      <w:keepNext/>
      <w:widowControl/>
      <w:spacing w:before="240" w:after="60"/>
      <w:outlineLvl w:val="1"/>
    </w:pPr>
    <w:rPr>
      <w:rFonts w:ascii="Arial" w:hAnsi="Arial"/>
      <w:b/>
      <w:i/>
      <w:noProof/>
      <w:sz w:val="24"/>
      <w:lang w:eastAsia="it-IT"/>
    </w:rPr>
  </w:style>
  <w:style w:type="paragraph" w:styleId="Titolo3">
    <w:name w:val="heading 3"/>
    <w:basedOn w:val="Normale"/>
    <w:next w:val="Normale"/>
    <w:link w:val="Titolo3Carattere"/>
    <w:qFormat/>
    <w:rsid w:val="00495428"/>
    <w:pPr>
      <w:keepNext/>
      <w:widowControl/>
      <w:spacing w:before="240" w:after="60"/>
      <w:outlineLvl w:val="2"/>
    </w:pPr>
    <w:rPr>
      <w:b/>
      <w:noProof/>
      <w:sz w:val="24"/>
      <w:lang w:eastAsia="it-IT"/>
    </w:rPr>
  </w:style>
  <w:style w:type="paragraph" w:styleId="Titolo4">
    <w:name w:val="heading 4"/>
    <w:basedOn w:val="Normale"/>
    <w:next w:val="Normale"/>
    <w:link w:val="Titolo4Carattere"/>
    <w:unhideWhenUsed/>
    <w:qFormat/>
    <w:rsid w:val="0033576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qFormat/>
    <w:rsid w:val="00495428"/>
    <w:pPr>
      <w:widowControl/>
      <w:spacing w:before="240" w:after="60"/>
      <w:outlineLvl w:val="4"/>
    </w:pPr>
    <w:rPr>
      <w:rFonts w:ascii="Arial" w:hAnsi="Arial"/>
      <w:noProof/>
      <w:sz w:val="22"/>
      <w:lang w:eastAsia="it-IT"/>
    </w:rPr>
  </w:style>
  <w:style w:type="paragraph" w:styleId="Titolo6">
    <w:name w:val="heading 6"/>
    <w:basedOn w:val="Normale"/>
    <w:next w:val="Normale"/>
    <w:link w:val="Titolo6Carattere"/>
    <w:qFormat/>
    <w:rsid w:val="00495428"/>
    <w:pPr>
      <w:keepNext/>
      <w:widowControl/>
      <w:tabs>
        <w:tab w:val="left" w:pos="426"/>
      </w:tabs>
      <w:ind w:right="333"/>
      <w:jc w:val="both"/>
      <w:outlineLvl w:val="5"/>
    </w:pPr>
    <w:rPr>
      <w:b/>
      <w:noProof/>
      <w:sz w:val="28"/>
      <w:u w:val="single"/>
      <w:lang w:eastAsia="it-IT"/>
    </w:rPr>
  </w:style>
  <w:style w:type="paragraph" w:styleId="Titolo7">
    <w:name w:val="heading 7"/>
    <w:basedOn w:val="Normale"/>
    <w:next w:val="Normale"/>
    <w:link w:val="Titolo7Carattere"/>
    <w:qFormat/>
    <w:rsid w:val="00495428"/>
    <w:pPr>
      <w:keepNext/>
      <w:widowControl/>
      <w:tabs>
        <w:tab w:val="left" w:pos="426"/>
      </w:tabs>
      <w:ind w:right="333"/>
      <w:jc w:val="center"/>
      <w:outlineLvl w:val="6"/>
    </w:pPr>
    <w:rPr>
      <w:b/>
      <w:noProof/>
      <w:sz w:val="32"/>
      <w:lang w:eastAsia="it-IT"/>
    </w:rPr>
  </w:style>
  <w:style w:type="paragraph" w:styleId="Titolo8">
    <w:name w:val="heading 8"/>
    <w:basedOn w:val="Normale"/>
    <w:next w:val="Normale"/>
    <w:link w:val="Titolo8Carattere"/>
    <w:qFormat/>
    <w:rsid w:val="00495428"/>
    <w:pPr>
      <w:keepNext/>
      <w:widowControl/>
      <w:tabs>
        <w:tab w:val="left" w:pos="426"/>
      </w:tabs>
      <w:ind w:right="333"/>
      <w:jc w:val="both"/>
      <w:outlineLvl w:val="7"/>
    </w:pPr>
    <w:rPr>
      <w:noProof/>
      <w:sz w:val="24"/>
      <w:lang w:eastAsia="it-IT"/>
    </w:rPr>
  </w:style>
  <w:style w:type="paragraph" w:styleId="Titolo9">
    <w:name w:val="heading 9"/>
    <w:basedOn w:val="Normale"/>
    <w:next w:val="Normale"/>
    <w:link w:val="Titolo9Carattere"/>
    <w:qFormat/>
    <w:rsid w:val="00495428"/>
    <w:pPr>
      <w:keepNext/>
      <w:widowControl/>
      <w:tabs>
        <w:tab w:val="left" w:pos="426"/>
      </w:tabs>
      <w:ind w:right="333"/>
      <w:outlineLvl w:val="8"/>
    </w:pPr>
    <w:rPr>
      <w:noProof/>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95428"/>
    <w:rPr>
      <w:rFonts w:ascii="Arial" w:eastAsia="Times New Roman" w:hAnsi="Arial"/>
      <w:b/>
      <w:noProof/>
      <w:kern w:val="28"/>
      <w:sz w:val="28"/>
    </w:rPr>
  </w:style>
  <w:style w:type="character" w:customStyle="1" w:styleId="Titolo2Carattere">
    <w:name w:val="Titolo 2 Carattere"/>
    <w:basedOn w:val="Carpredefinitoparagrafo"/>
    <w:link w:val="Titolo2"/>
    <w:rsid w:val="00495428"/>
    <w:rPr>
      <w:rFonts w:ascii="Arial" w:eastAsia="Times New Roman" w:hAnsi="Arial"/>
      <w:b/>
      <w:i/>
      <w:noProof/>
      <w:sz w:val="24"/>
    </w:rPr>
  </w:style>
  <w:style w:type="character" w:customStyle="1" w:styleId="Titolo3Carattere">
    <w:name w:val="Titolo 3 Carattere"/>
    <w:basedOn w:val="Carpredefinitoparagrafo"/>
    <w:link w:val="Titolo3"/>
    <w:rsid w:val="00495428"/>
    <w:rPr>
      <w:rFonts w:ascii="Times New Roman" w:eastAsia="Times New Roman" w:hAnsi="Times New Roman"/>
      <w:b/>
      <w:noProof/>
      <w:sz w:val="24"/>
    </w:rPr>
  </w:style>
  <w:style w:type="character" w:customStyle="1" w:styleId="Titolo4Carattere">
    <w:name w:val="Titolo 4 Carattere"/>
    <w:basedOn w:val="Carpredefinitoparagrafo"/>
    <w:link w:val="Titolo4"/>
    <w:uiPriority w:val="9"/>
    <w:semiHidden/>
    <w:rsid w:val="00335769"/>
    <w:rPr>
      <w:rFonts w:asciiTheme="majorHAnsi" w:eastAsiaTheme="majorEastAsia" w:hAnsiTheme="majorHAnsi" w:cstheme="majorBidi"/>
      <w:b/>
      <w:bCs/>
      <w:i/>
      <w:iCs/>
      <w:color w:val="4F81BD" w:themeColor="accent1"/>
      <w:lang w:eastAsia="ko-KR"/>
    </w:rPr>
  </w:style>
  <w:style w:type="character" w:customStyle="1" w:styleId="Titolo5Carattere">
    <w:name w:val="Titolo 5 Carattere"/>
    <w:basedOn w:val="Carpredefinitoparagrafo"/>
    <w:link w:val="Titolo5"/>
    <w:rsid w:val="00495428"/>
    <w:rPr>
      <w:rFonts w:ascii="Arial" w:eastAsia="Times New Roman" w:hAnsi="Arial"/>
      <w:noProof/>
      <w:sz w:val="22"/>
    </w:rPr>
  </w:style>
  <w:style w:type="character" w:customStyle="1" w:styleId="Titolo6Carattere">
    <w:name w:val="Titolo 6 Carattere"/>
    <w:basedOn w:val="Carpredefinitoparagrafo"/>
    <w:link w:val="Titolo6"/>
    <w:rsid w:val="00495428"/>
    <w:rPr>
      <w:rFonts w:ascii="Times New Roman" w:eastAsia="Times New Roman" w:hAnsi="Times New Roman"/>
      <w:b/>
      <w:noProof/>
      <w:sz w:val="28"/>
      <w:u w:val="single"/>
    </w:rPr>
  </w:style>
  <w:style w:type="character" w:customStyle="1" w:styleId="Titolo7Carattere">
    <w:name w:val="Titolo 7 Carattere"/>
    <w:basedOn w:val="Carpredefinitoparagrafo"/>
    <w:link w:val="Titolo7"/>
    <w:rsid w:val="00495428"/>
    <w:rPr>
      <w:rFonts w:ascii="Times New Roman" w:eastAsia="Times New Roman" w:hAnsi="Times New Roman"/>
      <w:b/>
      <w:noProof/>
      <w:sz w:val="32"/>
    </w:rPr>
  </w:style>
  <w:style w:type="character" w:customStyle="1" w:styleId="Titolo8Carattere">
    <w:name w:val="Titolo 8 Carattere"/>
    <w:basedOn w:val="Carpredefinitoparagrafo"/>
    <w:link w:val="Titolo8"/>
    <w:rsid w:val="00495428"/>
    <w:rPr>
      <w:rFonts w:ascii="Times New Roman" w:eastAsia="Times New Roman" w:hAnsi="Times New Roman"/>
      <w:noProof/>
      <w:sz w:val="24"/>
    </w:rPr>
  </w:style>
  <w:style w:type="character" w:customStyle="1" w:styleId="Titolo9Carattere">
    <w:name w:val="Titolo 9 Carattere"/>
    <w:basedOn w:val="Carpredefinitoparagrafo"/>
    <w:link w:val="Titolo9"/>
    <w:rsid w:val="00495428"/>
    <w:rPr>
      <w:rFonts w:ascii="Times New Roman" w:eastAsia="Times New Roman" w:hAnsi="Times New Roman"/>
      <w:noProof/>
      <w:sz w:val="24"/>
    </w:rPr>
  </w:style>
  <w:style w:type="paragraph" w:customStyle="1" w:styleId="Aaoeeu">
    <w:name w:val="Aaoeeu"/>
    <w:rsid w:val="006C6E2F"/>
    <w:pPr>
      <w:widowControl w:val="0"/>
    </w:pPr>
    <w:rPr>
      <w:rFonts w:ascii="Times New Roman" w:eastAsia="Times New Roman" w:hAnsi="Times New Roman"/>
      <w:lang w:val="en-US" w:eastAsia="ko-KR"/>
    </w:rPr>
  </w:style>
  <w:style w:type="paragraph" w:customStyle="1" w:styleId="Aeeaoaeaa1">
    <w:name w:val="A?eeaoae?aa 1"/>
    <w:basedOn w:val="Aaoeeu"/>
    <w:next w:val="Aaoeeu"/>
    <w:rsid w:val="006C6E2F"/>
    <w:pPr>
      <w:keepNext/>
      <w:jc w:val="right"/>
    </w:pPr>
    <w:rPr>
      <w:b/>
    </w:rPr>
  </w:style>
  <w:style w:type="paragraph" w:customStyle="1" w:styleId="Aeeaoaeaa2">
    <w:name w:val="A?eeaoae?aa 2"/>
    <w:basedOn w:val="Aaoeeu"/>
    <w:next w:val="Aaoeeu"/>
    <w:rsid w:val="006C6E2F"/>
    <w:pPr>
      <w:keepNext/>
      <w:jc w:val="right"/>
    </w:pPr>
    <w:rPr>
      <w:i/>
    </w:rPr>
  </w:style>
  <w:style w:type="paragraph" w:customStyle="1" w:styleId="Eaoaeaa">
    <w:name w:val="Eaoae?aa"/>
    <w:basedOn w:val="Aaoeeu"/>
    <w:rsid w:val="006C6E2F"/>
    <w:pPr>
      <w:tabs>
        <w:tab w:val="center" w:pos="4153"/>
        <w:tab w:val="right" w:pos="8306"/>
      </w:tabs>
    </w:pPr>
  </w:style>
  <w:style w:type="paragraph" w:customStyle="1" w:styleId="OiaeaeiYiio2">
    <w:name w:val="O?ia eaeiYiio 2"/>
    <w:basedOn w:val="Aaoeeu"/>
    <w:rsid w:val="006C6E2F"/>
    <w:pPr>
      <w:jc w:val="right"/>
    </w:pPr>
    <w:rPr>
      <w:i/>
      <w:sz w:val="16"/>
    </w:rPr>
  </w:style>
  <w:style w:type="paragraph" w:styleId="Pidipagina">
    <w:name w:val="footer"/>
    <w:basedOn w:val="Normale"/>
    <w:link w:val="PidipaginaCarattere"/>
    <w:uiPriority w:val="99"/>
    <w:rsid w:val="006C6E2F"/>
    <w:pPr>
      <w:tabs>
        <w:tab w:val="center" w:pos="4153"/>
        <w:tab w:val="right" w:pos="8306"/>
      </w:tabs>
    </w:pPr>
  </w:style>
  <w:style w:type="character" w:customStyle="1" w:styleId="PidipaginaCarattere">
    <w:name w:val="Piè di pagina Carattere"/>
    <w:basedOn w:val="Carpredefinitoparagrafo"/>
    <w:link w:val="Pidipagina"/>
    <w:uiPriority w:val="99"/>
    <w:rsid w:val="006C6E2F"/>
    <w:rPr>
      <w:rFonts w:ascii="Times New Roman" w:eastAsia="Times New Roman" w:hAnsi="Times New Roman" w:cs="Times New Roman"/>
      <w:sz w:val="20"/>
      <w:szCs w:val="20"/>
      <w:lang w:val="it-IT" w:eastAsia="ko-KR"/>
    </w:rPr>
  </w:style>
  <w:style w:type="character" w:styleId="Numeropagina">
    <w:name w:val="page number"/>
    <w:basedOn w:val="Carpredefinitoparagrafo"/>
    <w:rsid w:val="006C6E2F"/>
  </w:style>
  <w:style w:type="paragraph" w:styleId="Testofumetto">
    <w:name w:val="Balloon Text"/>
    <w:basedOn w:val="Normale"/>
    <w:link w:val="TestofumettoCarattere"/>
    <w:uiPriority w:val="99"/>
    <w:semiHidden/>
    <w:unhideWhenUsed/>
    <w:rsid w:val="006C6E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E2F"/>
    <w:rPr>
      <w:rFonts w:ascii="Tahoma" w:eastAsia="Times New Roman" w:hAnsi="Tahoma" w:cs="Tahoma"/>
      <w:sz w:val="16"/>
      <w:szCs w:val="16"/>
      <w:lang w:val="it-IT" w:eastAsia="ko-KR"/>
    </w:rPr>
  </w:style>
  <w:style w:type="paragraph" w:styleId="Puntoelenco2">
    <w:name w:val="List Bullet 2"/>
    <w:basedOn w:val="Normale"/>
    <w:rsid w:val="00306D0D"/>
    <w:pPr>
      <w:widowControl/>
      <w:ind w:left="566" w:hanging="283"/>
    </w:pPr>
    <w:rPr>
      <w:rFonts w:ascii="MS Sans Serif" w:hAnsi="MS Sans Serif"/>
      <w:noProof/>
      <w:lang w:eastAsia="it-IT"/>
    </w:rPr>
  </w:style>
  <w:style w:type="paragraph" w:styleId="Intestazione">
    <w:name w:val="header"/>
    <w:basedOn w:val="Normale"/>
    <w:link w:val="IntestazioneCarattere"/>
    <w:unhideWhenUsed/>
    <w:rsid w:val="008046D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046DF"/>
    <w:rPr>
      <w:rFonts w:ascii="Times New Roman" w:eastAsia="Times New Roman" w:hAnsi="Times New Roman"/>
      <w:lang w:eastAsia="ko-KR"/>
    </w:rPr>
  </w:style>
  <w:style w:type="character" w:styleId="Collegamentoipertestuale">
    <w:name w:val="Hyperlink"/>
    <w:basedOn w:val="Carpredefinitoparagrafo"/>
    <w:unhideWhenUsed/>
    <w:rsid w:val="006766A3"/>
    <w:rPr>
      <w:color w:val="0000FF" w:themeColor="hyperlink"/>
      <w:u w:val="single"/>
    </w:rPr>
  </w:style>
  <w:style w:type="paragraph" w:styleId="Paragrafoelenco">
    <w:name w:val="List Paragraph"/>
    <w:basedOn w:val="Normale"/>
    <w:uiPriority w:val="34"/>
    <w:qFormat/>
    <w:rsid w:val="00B109A7"/>
    <w:pPr>
      <w:ind w:left="720"/>
      <w:contextualSpacing/>
    </w:pPr>
  </w:style>
  <w:style w:type="character" w:customStyle="1" w:styleId="jrnl">
    <w:name w:val="jrnl"/>
    <w:basedOn w:val="Carpredefinitoparagrafo"/>
    <w:rsid w:val="008B2CBC"/>
  </w:style>
  <w:style w:type="character" w:customStyle="1" w:styleId="apple-converted-space">
    <w:name w:val="apple-converted-space"/>
    <w:basedOn w:val="Carpredefinitoparagrafo"/>
    <w:rsid w:val="008B2CBC"/>
  </w:style>
  <w:style w:type="paragraph" w:styleId="Elenco">
    <w:name w:val="List"/>
    <w:basedOn w:val="Normale"/>
    <w:rsid w:val="00495428"/>
    <w:pPr>
      <w:widowControl/>
      <w:ind w:left="283" w:hanging="283"/>
    </w:pPr>
    <w:rPr>
      <w:rFonts w:ascii="MS Sans Serif" w:hAnsi="MS Sans Serif"/>
      <w:noProof/>
      <w:lang w:eastAsia="it-IT"/>
    </w:rPr>
  </w:style>
  <w:style w:type="paragraph" w:styleId="Elenco2">
    <w:name w:val="List 2"/>
    <w:basedOn w:val="Normale"/>
    <w:rsid w:val="00495428"/>
    <w:pPr>
      <w:widowControl/>
      <w:ind w:left="566" w:hanging="283"/>
    </w:pPr>
    <w:rPr>
      <w:rFonts w:ascii="MS Sans Serif" w:hAnsi="MS Sans Serif"/>
      <w:noProof/>
      <w:lang w:eastAsia="it-IT"/>
    </w:rPr>
  </w:style>
  <w:style w:type="paragraph" w:styleId="Puntoelenco">
    <w:name w:val="List Bullet"/>
    <w:basedOn w:val="Normale"/>
    <w:rsid w:val="00495428"/>
    <w:pPr>
      <w:widowControl/>
      <w:ind w:left="283" w:hanging="283"/>
    </w:pPr>
    <w:rPr>
      <w:rFonts w:ascii="MS Sans Serif" w:hAnsi="MS Sans Serif"/>
      <w:noProof/>
      <w:lang w:eastAsia="it-IT"/>
    </w:rPr>
  </w:style>
  <w:style w:type="paragraph" w:styleId="Elencocontinua">
    <w:name w:val="List Continue"/>
    <w:basedOn w:val="Normale"/>
    <w:rsid w:val="00495428"/>
    <w:pPr>
      <w:widowControl/>
      <w:spacing w:after="120"/>
      <w:ind w:left="283"/>
    </w:pPr>
    <w:rPr>
      <w:rFonts w:ascii="MS Sans Serif" w:hAnsi="MS Sans Serif"/>
      <w:noProof/>
      <w:lang w:eastAsia="it-IT"/>
    </w:rPr>
  </w:style>
  <w:style w:type="paragraph" w:styleId="Elencocontinua2">
    <w:name w:val="List Continue 2"/>
    <w:basedOn w:val="Normale"/>
    <w:rsid w:val="00495428"/>
    <w:pPr>
      <w:widowControl/>
      <w:spacing w:after="120"/>
      <w:ind w:left="566"/>
    </w:pPr>
    <w:rPr>
      <w:rFonts w:ascii="MS Sans Serif" w:hAnsi="MS Sans Serif"/>
      <w:noProof/>
      <w:lang w:eastAsia="it-IT"/>
    </w:rPr>
  </w:style>
  <w:style w:type="paragraph" w:styleId="Corpotesto">
    <w:name w:val="Body Text"/>
    <w:basedOn w:val="Normale"/>
    <w:link w:val="CorpotestoCarattere"/>
    <w:rsid w:val="00495428"/>
    <w:pPr>
      <w:widowControl/>
      <w:spacing w:after="120"/>
    </w:pPr>
    <w:rPr>
      <w:rFonts w:ascii="MS Sans Serif" w:hAnsi="MS Sans Serif"/>
      <w:noProof/>
      <w:lang w:eastAsia="it-IT"/>
    </w:rPr>
  </w:style>
  <w:style w:type="character" w:customStyle="1" w:styleId="CorpotestoCarattere">
    <w:name w:val="Corpo testo Carattere"/>
    <w:basedOn w:val="Carpredefinitoparagrafo"/>
    <w:link w:val="Corpotesto"/>
    <w:rsid w:val="00495428"/>
    <w:rPr>
      <w:rFonts w:ascii="MS Sans Serif" w:eastAsia="Times New Roman" w:hAnsi="MS Sans Serif"/>
      <w:noProof/>
    </w:rPr>
  </w:style>
  <w:style w:type="paragraph" w:styleId="Rientrocorpodeltesto">
    <w:name w:val="Body Text Indent"/>
    <w:basedOn w:val="Normale"/>
    <w:link w:val="RientrocorpodeltestoCarattere"/>
    <w:rsid w:val="00495428"/>
    <w:pPr>
      <w:widowControl/>
      <w:spacing w:after="120"/>
      <w:ind w:left="283"/>
    </w:pPr>
    <w:rPr>
      <w:rFonts w:ascii="MS Sans Serif" w:hAnsi="MS Sans Serif"/>
      <w:noProof/>
      <w:lang w:eastAsia="it-IT"/>
    </w:rPr>
  </w:style>
  <w:style w:type="character" w:customStyle="1" w:styleId="RientrocorpodeltestoCarattere">
    <w:name w:val="Rientro corpo del testo Carattere"/>
    <w:basedOn w:val="Carpredefinitoparagrafo"/>
    <w:link w:val="Rientrocorpodeltesto"/>
    <w:rsid w:val="00495428"/>
    <w:rPr>
      <w:rFonts w:ascii="MS Sans Serif" w:eastAsia="Times New Roman" w:hAnsi="MS Sans Serif"/>
      <w:noProof/>
    </w:rPr>
  </w:style>
  <w:style w:type="paragraph" w:styleId="Corpodeltesto3">
    <w:name w:val="Body Text 3"/>
    <w:basedOn w:val="Rientrocorpodeltesto"/>
    <w:link w:val="Corpodeltesto3Carattere"/>
    <w:rsid w:val="00495428"/>
  </w:style>
  <w:style w:type="character" w:customStyle="1" w:styleId="Corpodeltesto3Carattere">
    <w:name w:val="Corpo del testo 3 Carattere"/>
    <w:basedOn w:val="Carpredefinitoparagrafo"/>
    <w:link w:val="Corpodeltesto3"/>
    <w:rsid w:val="00495428"/>
    <w:rPr>
      <w:rFonts w:ascii="MS Sans Serif" w:eastAsia="Times New Roman" w:hAnsi="MS Sans Serif"/>
      <w:noProof/>
    </w:rPr>
  </w:style>
  <w:style w:type="paragraph" w:styleId="Testodelblocco">
    <w:name w:val="Block Text"/>
    <w:basedOn w:val="Normale"/>
    <w:rsid w:val="00495428"/>
    <w:pPr>
      <w:widowControl/>
      <w:numPr>
        <w:ilvl w:val="12"/>
      </w:numPr>
      <w:ind w:left="283" w:right="333" w:hanging="283"/>
      <w:jc w:val="both"/>
    </w:pPr>
    <w:rPr>
      <w:noProof/>
      <w:sz w:val="24"/>
      <w:lang w:eastAsia="it-IT"/>
    </w:rPr>
  </w:style>
  <w:style w:type="paragraph" w:styleId="Corpodeltesto2">
    <w:name w:val="Body Text 2"/>
    <w:basedOn w:val="Normale"/>
    <w:link w:val="Corpodeltesto2Carattere"/>
    <w:rsid w:val="00495428"/>
    <w:pPr>
      <w:widowControl/>
      <w:ind w:right="333"/>
      <w:jc w:val="both"/>
    </w:pPr>
    <w:rPr>
      <w:noProof/>
      <w:sz w:val="24"/>
      <w:lang w:eastAsia="it-IT"/>
    </w:rPr>
  </w:style>
  <w:style w:type="character" w:customStyle="1" w:styleId="Corpodeltesto2Carattere">
    <w:name w:val="Corpo del testo 2 Carattere"/>
    <w:basedOn w:val="Carpredefinitoparagrafo"/>
    <w:link w:val="Corpodeltesto2"/>
    <w:rsid w:val="00495428"/>
    <w:rPr>
      <w:rFonts w:ascii="Times New Roman" w:eastAsia="Times New Roman" w:hAnsi="Times New Roman"/>
      <w:noProof/>
      <w:sz w:val="24"/>
    </w:rPr>
  </w:style>
  <w:style w:type="paragraph" w:customStyle="1" w:styleId="DefinitionList">
    <w:name w:val="Definition List"/>
    <w:basedOn w:val="Normale"/>
    <w:next w:val="Normale"/>
    <w:rsid w:val="00495428"/>
    <w:pPr>
      <w:widowControl/>
      <w:ind w:left="360"/>
    </w:pPr>
    <w:rPr>
      <w:snapToGrid w:val="0"/>
      <w:sz w:val="24"/>
      <w:lang w:eastAsia="it-IT"/>
    </w:rPr>
  </w:style>
  <w:style w:type="paragraph" w:styleId="Titolo">
    <w:name w:val="Title"/>
    <w:basedOn w:val="Normale"/>
    <w:link w:val="TitoloCarattere"/>
    <w:qFormat/>
    <w:rsid w:val="00495428"/>
    <w:pPr>
      <w:widowControl/>
      <w:jc w:val="center"/>
    </w:pPr>
    <w:rPr>
      <w:b/>
      <w:sz w:val="48"/>
      <w:lang w:eastAsia="it-IT"/>
    </w:rPr>
  </w:style>
  <w:style w:type="character" w:customStyle="1" w:styleId="TitoloCarattere">
    <w:name w:val="Titolo Carattere"/>
    <w:basedOn w:val="Carpredefinitoparagrafo"/>
    <w:link w:val="Titolo"/>
    <w:rsid w:val="00495428"/>
    <w:rPr>
      <w:rFonts w:ascii="Times New Roman" w:eastAsia="Times New Roman" w:hAnsi="Times New Roman"/>
      <w:b/>
      <w:sz w:val="48"/>
    </w:rPr>
  </w:style>
  <w:style w:type="character" w:styleId="Enfasigrassetto">
    <w:name w:val="Strong"/>
    <w:basedOn w:val="Carpredefinitoparagrafo"/>
    <w:qFormat/>
    <w:rsid w:val="00495428"/>
    <w:rPr>
      <w:b/>
      <w:bCs/>
    </w:rPr>
  </w:style>
  <w:style w:type="paragraph" w:customStyle="1" w:styleId="maintextleft">
    <w:name w:val="maintextleft"/>
    <w:basedOn w:val="Normale"/>
    <w:rsid w:val="00495428"/>
    <w:pPr>
      <w:widowControl/>
      <w:spacing w:before="100" w:beforeAutospacing="1" w:after="100" w:afterAutospacing="1"/>
    </w:pPr>
    <w:rPr>
      <w:rFonts w:ascii="Arial" w:hAnsi="Arial" w:cs="Arial"/>
      <w:color w:val="000000"/>
      <w:sz w:val="18"/>
      <w:szCs w:val="18"/>
      <w:lang w:eastAsia="it-IT"/>
    </w:rPr>
  </w:style>
  <w:style w:type="paragraph" w:customStyle="1" w:styleId="Titolo26">
    <w:name w:val="Titolo 26"/>
    <w:basedOn w:val="Normale"/>
    <w:rsid w:val="00495428"/>
    <w:pPr>
      <w:widowControl/>
      <w:spacing w:before="140"/>
      <w:outlineLvl w:val="2"/>
    </w:pPr>
    <w:rPr>
      <w:b/>
      <w:bCs/>
      <w:sz w:val="34"/>
      <w:szCs w:val="34"/>
      <w:lang w:eastAsia="it-IT"/>
    </w:rPr>
  </w:style>
  <w:style w:type="character" w:customStyle="1" w:styleId="ti2">
    <w:name w:val="ti2"/>
    <w:basedOn w:val="Carpredefinitoparagrafo"/>
    <w:rsid w:val="00495428"/>
    <w:rPr>
      <w:sz w:val="22"/>
      <w:szCs w:val="22"/>
    </w:rPr>
  </w:style>
  <w:style w:type="character" w:customStyle="1" w:styleId="volume">
    <w:name w:val="volume"/>
    <w:basedOn w:val="Carpredefinitoparagrafo"/>
    <w:rsid w:val="00495428"/>
  </w:style>
  <w:style w:type="character" w:customStyle="1" w:styleId="issue">
    <w:name w:val="issue"/>
    <w:basedOn w:val="Carpredefinitoparagrafo"/>
    <w:rsid w:val="00495428"/>
  </w:style>
  <w:style w:type="character" w:customStyle="1" w:styleId="pages">
    <w:name w:val="pages"/>
    <w:basedOn w:val="Carpredefinitoparagrafo"/>
    <w:rsid w:val="00495428"/>
  </w:style>
  <w:style w:type="character" w:customStyle="1" w:styleId="pagetext2">
    <w:name w:val="page_text2"/>
    <w:basedOn w:val="Carpredefinitoparagrafo"/>
    <w:rsid w:val="00495428"/>
    <w:rPr>
      <w:rFonts w:ascii="Arial" w:hAnsi="Arial" w:cs="Arial" w:hint="default"/>
      <w:color w:val="000000"/>
      <w:sz w:val="26"/>
      <w:szCs w:val="26"/>
      <w:bdr w:val="double" w:sz="6" w:space="0" w:color="636563" w:frame="1"/>
    </w:rPr>
  </w:style>
  <w:style w:type="paragraph" w:customStyle="1" w:styleId="authors1">
    <w:name w:val="authors1"/>
    <w:basedOn w:val="Normale"/>
    <w:rsid w:val="00495428"/>
    <w:pPr>
      <w:widowControl/>
      <w:spacing w:before="72" w:line="240" w:lineRule="atLeast"/>
      <w:ind w:left="825"/>
    </w:pPr>
    <w:rPr>
      <w:sz w:val="22"/>
      <w:szCs w:val="22"/>
      <w:lang w:eastAsia="it-IT"/>
    </w:rPr>
  </w:style>
  <w:style w:type="paragraph" w:customStyle="1" w:styleId="source1">
    <w:name w:val="source1"/>
    <w:basedOn w:val="Normale"/>
    <w:rsid w:val="00495428"/>
    <w:pPr>
      <w:widowControl/>
      <w:spacing w:before="120" w:after="84" w:line="240" w:lineRule="atLeast"/>
      <w:ind w:left="825"/>
    </w:pPr>
    <w:rPr>
      <w:sz w:val="18"/>
      <w:szCs w:val="18"/>
      <w:lang w:eastAsia="it-IT"/>
    </w:rPr>
  </w:style>
  <w:style w:type="character" w:customStyle="1" w:styleId="journalname">
    <w:name w:val="journalname"/>
    <w:basedOn w:val="Carpredefinitoparagrafo"/>
    <w:rsid w:val="00495428"/>
  </w:style>
  <w:style w:type="character" w:customStyle="1" w:styleId="textbold1">
    <w:name w:val="text_bold1"/>
    <w:basedOn w:val="Carpredefinitoparagrafo"/>
    <w:rsid w:val="00495428"/>
    <w:rPr>
      <w:rFonts w:ascii="Arial" w:hAnsi="Arial" w:cs="Arial" w:hint="default"/>
      <w:color w:val="000000"/>
      <w:sz w:val="20"/>
      <w:szCs w:val="20"/>
      <w:bdr w:val="double" w:sz="6" w:space="0" w:color="636563" w:frame="1"/>
    </w:rPr>
  </w:style>
  <w:style w:type="character" w:customStyle="1" w:styleId="searchresulthittext2">
    <w:name w:val="search_result_hit_text2"/>
    <w:basedOn w:val="Carpredefinitoparagrafo"/>
    <w:rsid w:val="00495428"/>
    <w:rPr>
      <w:rFonts w:ascii="Arial" w:hAnsi="Arial" w:cs="Arial" w:hint="default"/>
      <w:color w:val="000000"/>
      <w:sz w:val="20"/>
      <w:szCs w:val="20"/>
      <w:bdr w:val="double" w:sz="6" w:space="0" w:color="636563" w:frame="1"/>
      <w:shd w:val="clear" w:color="auto" w:fill="FFFF00"/>
    </w:rPr>
  </w:style>
  <w:style w:type="character" w:customStyle="1" w:styleId="Collegamentoipertestuale1">
    <w:name w:val="Collegamento ipertestuale1"/>
    <w:basedOn w:val="Carpredefinitoparagrafo"/>
    <w:rsid w:val="00495428"/>
    <w:rPr>
      <w:color w:val="36649F"/>
      <w:u w:val="single"/>
    </w:rPr>
  </w:style>
  <w:style w:type="character" w:customStyle="1" w:styleId="src2">
    <w:name w:val="src2"/>
    <w:basedOn w:val="Carpredefinitoparagrafo"/>
    <w:rsid w:val="00495428"/>
    <w:rPr>
      <w:rFonts w:ascii="Helvetica" w:hAnsi="Helvetica" w:hint="default"/>
      <w:vanish w:val="0"/>
      <w:webHidden w:val="0"/>
      <w:sz w:val="29"/>
      <w:szCs w:val="29"/>
      <w:shd w:val="clear" w:color="auto" w:fill="FFFFFF"/>
      <w:specVanish w:val="0"/>
    </w:rPr>
  </w:style>
  <w:style w:type="paragraph" w:customStyle="1" w:styleId="Default">
    <w:name w:val="Default"/>
    <w:rsid w:val="00495428"/>
    <w:pPr>
      <w:autoSpaceDE w:val="0"/>
      <w:autoSpaceDN w:val="0"/>
      <w:adjustRightInd w:val="0"/>
    </w:pPr>
    <w:rPr>
      <w:rFonts w:eastAsia="Times New Roman" w:cs="Calibri"/>
      <w:color w:val="000000"/>
      <w:sz w:val="24"/>
      <w:szCs w:val="24"/>
    </w:rPr>
  </w:style>
  <w:style w:type="character" w:customStyle="1" w:styleId="b3">
    <w:name w:val="b3"/>
    <w:basedOn w:val="Carpredefinitoparagrafo"/>
    <w:rsid w:val="00495428"/>
    <w:rPr>
      <w:b/>
      <w:bCs/>
    </w:rPr>
  </w:style>
  <w:style w:type="paragraph" w:customStyle="1" w:styleId="rprtbody1">
    <w:name w:val="rprtbody1"/>
    <w:basedOn w:val="Normale"/>
    <w:rsid w:val="00495428"/>
    <w:pPr>
      <w:widowControl/>
      <w:spacing w:before="34" w:after="34"/>
    </w:pPr>
    <w:rPr>
      <w:sz w:val="28"/>
      <w:szCs w:val="28"/>
      <w:lang w:eastAsia="it-IT"/>
    </w:rPr>
  </w:style>
  <w:style w:type="paragraph" w:customStyle="1" w:styleId="aux1">
    <w:name w:val="aux1"/>
    <w:basedOn w:val="Normale"/>
    <w:rsid w:val="00495428"/>
    <w:pPr>
      <w:widowControl/>
      <w:spacing w:line="320" w:lineRule="atLeast"/>
    </w:pPr>
    <w:rPr>
      <w:sz w:val="24"/>
      <w:szCs w:val="24"/>
      <w:lang w:eastAsia="it-IT"/>
    </w:rPr>
  </w:style>
  <w:style w:type="character" w:customStyle="1" w:styleId="src1">
    <w:name w:val="src1"/>
    <w:basedOn w:val="Carpredefinitoparagrafo"/>
    <w:rsid w:val="00495428"/>
    <w:rPr>
      <w:vanish w:val="0"/>
      <w:webHidden w:val="0"/>
      <w:specVanish w:val="0"/>
    </w:rPr>
  </w:style>
  <w:style w:type="paragraph" w:customStyle="1" w:styleId="desc1">
    <w:name w:val="desc1"/>
    <w:basedOn w:val="Normale"/>
    <w:rsid w:val="00495428"/>
    <w:pPr>
      <w:widowControl/>
      <w:spacing w:before="100" w:beforeAutospacing="1" w:after="100" w:afterAutospacing="1"/>
    </w:pPr>
    <w:rPr>
      <w:sz w:val="28"/>
      <w:szCs w:val="28"/>
      <w:lang w:eastAsia="it-IT"/>
    </w:rPr>
  </w:style>
  <w:style w:type="paragraph" w:customStyle="1" w:styleId="details1">
    <w:name w:val="details1"/>
    <w:basedOn w:val="Normale"/>
    <w:rsid w:val="00495428"/>
    <w:pPr>
      <w:widowControl/>
      <w:spacing w:before="100" w:beforeAutospacing="1" w:after="100" w:afterAutospacing="1"/>
    </w:pPr>
    <w:rPr>
      <w:sz w:val="24"/>
      <w:szCs w:val="24"/>
      <w:lang w:eastAsia="it-IT"/>
    </w:rPr>
  </w:style>
  <w:style w:type="character" w:customStyle="1" w:styleId="MappadocumentoCarattere">
    <w:name w:val="Mappa documento Carattere"/>
    <w:basedOn w:val="Carpredefinitoparagrafo"/>
    <w:link w:val="Mappadocumento"/>
    <w:uiPriority w:val="99"/>
    <w:semiHidden/>
    <w:rsid w:val="00495428"/>
    <w:rPr>
      <w:rFonts w:ascii="Tahoma" w:eastAsia="Times New Roman" w:hAnsi="Tahoma" w:cs="Tahoma"/>
      <w:noProof/>
      <w:sz w:val="16"/>
      <w:szCs w:val="16"/>
    </w:rPr>
  </w:style>
  <w:style w:type="paragraph" w:styleId="Mappadocumento">
    <w:name w:val="Document Map"/>
    <w:basedOn w:val="Normale"/>
    <w:link w:val="MappadocumentoCarattere"/>
    <w:uiPriority w:val="99"/>
    <w:semiHidden/>
    <w:unhideWhenUsed/>
    <w:rsid w:val="00495428"/>
    <w:pPr>
      <w:widowControl/>
    </w:pPr>
    <w:rPr>
      <w:rFonts w:ascii="Tahoma" w:hAnsi="Tahoma" w:cs="Tahoma"/>
      <w:noProof/>
      <w:sz w:val="16"/>
      <w:szCs w:val="16"/>
      <w:lang w:eastAsia="it-IT"/>
    </w:rPr>
  </w:style>
  <w:style w:type="character" w:customStyle="1" w:styleId="highlight">
    <w:name w:val="highlight"/>
    <w:basedOn w:val="Carpredefinitoparagrafo"/>
    <w:rsid w:val="00495428"/>
  </w:style>
  <w:style w:type="paragraph" w:customStyle="1" w:styleId="desc">
    <w:name w:val="desc"/>
    <w:basedOn w:val="Normale"/>
    <w:rsid w:val="00495428"/>
    <w:pPr>
      <w:widowControl/>
      <w:spacing w:before="100" w:beforeAutospacing="1" w:after="100" w:afterAutospacing="1"/>
    </w:pPr>
    <w:rPr>
      <w:sz w:val="24"/>
      <w:szCs w:val="24"/>
      <w:lang w:eastAsia="it-IT"/>
    </w:rPr>
  </w:style>
  <w:style w:type="paragraph" w:customStyle="1" w:styleId="details">
    <w:name w:val="details"/>
    <w:basedOn w:val="Normale"/>
    <w:rsid w:val="00495428"/>
    <w:pPr>
      <w:widowControl/>
      <w:spacing w:before="100" w:beforeAutospacing="1" w:after="100" w:afterAutospacing="1"/>
    </w:pPr>
    <w:rPr>
      <w:sz w:val="24"/>
      <w:szCs w:val="24"/>
      <w:lang w:eastAsia="it-IT"/>
    </w:rPr>
  </w:style>
  <w:style w:type="paragraph" w:customStyle="1" w:styleId="Titolo10">
    <w:name w:val="Titolo1"/>
    <w:basedOn w:val="Normale"/>
    <w:rsid w:val="00495428"/>
    <w:pPr>
      <w:widowControl/>
      <w:spacing w:before="100" w:beforeAutospacing="1" w:after="100" w:afterAutospacing="1"/>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1244">
      <w:bodyDiv w:val="1"/>
      <w:marLeft w:val="0"/>
      <w:marRight w:val="0"/>
      <w:marTop w:val="0"/>
      <w:marBottom w:val="0"/>
      <w:divBdr>
        <w:top w:val="none" w:sz="0" w:space="0" w:color="auto"/>
        <w:left w:val="none" w:sz="0" w:space="0" w:color="auto"/>
        <w:bottom w:val="none" w:sz="0" w:space="0" w:color="auto"/>
        <w:right w:val="none" w:sz="0" w:space="0" w:color="auto"/>
      </w:divBdr>
    </w:div>
    <w:div w:id="998507377">
      <w:bodyDiv w:val="1"/>
      <w:marLeft w:val="0"/>
      <w:marRight w:val="0"/>
      <w:marTop w:val="0"/>
      <w:marBottom w:val="0"/>
      <w:divBdr>
        <w:top w:val="none" w:sz="0" w:space="0" w:color="auto"/>
        <w:left w:val="none" w:sz="0" w:space="0" w:color="auto"/>
        <w:bottom w:val="none" w:sz="0" w:space="0" w:color="auto"/>
        <w:right w:val="none" w:sz="0" w:space="0" w:color="auto"/>
      </w:divBdr>
    </w:div>
    <w:div w:id="1277173738">
      <w:bodyDiv w:val="1"/>
      <w:marLeft w:val="0"/>
      <w:marRight w:val="0"/>
      <w:marTop w:val="0"/>
      <w:marBottom w:val="0"/>
      <w:divBdr>
        <w:top w:val="none" w:sz="0" w:space="0" w:color="auto"/>
        <w:left w:val="none" w:sz="0" w:space="0" w:color="auto"/>
        <w:bottom w:val="none" w:sz="0" w:space="0" w:color="auto"/>
        <w:right w:val="none" w:sz="0" w:space="0" w:color="auto"/>
      </w:divBdr>
    </w:div>
    <w:div w:id="1614484445">
      <w:bodyDiv w:val="1"/>
      <w:marLeft w:val="0"/>
      <w:marRight w:val="0"/>
      <w:marTop w:val="0"/>
      <w:marBottom w:val="0"/>
      <w:divBdr>
        <w:top w:val="none" w:sz="0" w:space="0" w:color="auto"/>
        <w:left w:val="none" w:sz="0" w:space="0" w:color="auto"/>
        <w:bottom w:val="none" w:sz="0" w:space="0" w:color="auto"/>
        <w:right w:val="none" w:sz="0" w:space="0" w:color="auto"/>
      </w:divBdr>
    </w:div>
    <w:div w:id="1806390331">
      <w:bodyDiv w:val="1"/>
      <w:marLeft w:val="0"/>
      <w:marRight w:val="0"/>
      <w:marTop w:val="0"/>
      <w:marBottom w:val="0"/>
      <w:divBdr>
        <w:top w:val="none" w:sz="0" w:space="0" w:color="auto"/>
        <w:left w:val="none" w:sz="0" w:space="0" w:color="auto"/>
        <w:bottom w:val="none" w:sz="0" w:space="0" w:color="auto"/>
        <w:right w:val="none" w:sz="0" w:space="0" w:color="auto"/>
      </w:divBdr>
    </w:div>
    <w:div w:id="212542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cbi.nlm.nih.gov/pubmed/25103354"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cbi.nlm.nih.gov/pubmed/2483385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cbi.nlm.nih.gov/pubmed/2572880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4664520" TargetMode="External"/><Relationship Id="rId5" Type="http://schemas.openxmlformats.org/officeDocument/2006/relationships/footnotes" Target="footnotes.xml"/><Relationship Id="rId15" Type="http://schemas.openxmlformats.org/officeDocument/2006/relationships/hyperlink" Target="http://www.ncbi.nlm.nih.gov/pubmed/25561343" TargetMode="External"/><Relationship Id="rId10" Type="http://schemas.openxmlformats.org/officeDocument/2006/relationships/hyperlink" Target="http://www.ncbi.nlm.nih.gov/pubmed/2445712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24440934" TargetMode="External"/><Relationship Id="rId14" Type="http://schemas.openxmlformats.org/officeDocument/2006/relationships/hyperlink" Target="http://www.ncbi.nlm.nih.gov/pubmed/25291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2909</Words>
  <Characters>16584</Characters>
  <Application>Microsoft Office Word</Application>
  <DocSecurity>0</DocSecurity>
  <Lines>138</Lines>
  <Paragraphs>38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Softonic</Company>
  <LinksUpToDate>false</LinksUpToDate>
  <CharactersWithSpaces>19455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Softonic</dc:creator>
  <cp:keywords/>
  <dc:description/>
  <cp:lastModifiedBy>Cammarota Giovanni</cp:lastModifiedBy>
  <cp:revision>6</cp:revision>
  <cp:lastPrinted>2016-02-23T08:19:00Z</cp:lastPrinted>
  <dcterms:created xsi:type="dcterms:W3CDTF">2016-04-14T09:45:00Z</dcterms:created>
  <dcterms:modified xsi:type="dcterms:W3CDTF">2016-04-14T10:24:00Z</dcterms:modified>
</cp:coreProperties>
</file>